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EBF2" w14:textId="41C8D056" w:rsidR="00E41CBA" w:rsidRPr="005F721F" w:rsidRDefault="00E41CBA" w:rsidP="00E41CBA">
      <w:pPr>
        <w:pStyle w:val="Zwykytekst"/>
        <w:rPr>
          <w:rFonts w:asciiTheme="majorHAnsi" w:hAnsiTheme="majorHAnsi" w:cstheme="majorHAnsi"/>
          <w:i/>
          <w:szCs w:val="22"/>
        </w:rPr>
      </w:pPr>
      <w:r w:rsidRPr="005F721F">
        <w:rPr>
          <w:rFonts w:asciiTheme="majorHAnsi" w:hAnsiTheme="majorHAnsi" w:cstheme="majorHAnsi"/>
          <w:i/>
          <w:szCs w:val="22"/>
          <w:lang w:bidi="en-GB"/>
        </w:rPr>
        <w:t>Dear All,</w:t>
      </w:r>
    </w:p>
    <w:p w14:paraId="23F05CFC" w14:textId="77777777" w:rsidR="00E41CBA" w:rsidRPr="005F721F" w:rsidRDefault="00E41CBA" w:rsidP="00E41CBA">
      <w:pPr>
        <w:pStyle w:val="Zwykytekst"/>
        <w:rPr>
          <w:rFonts w:asciiTheme="majorHAnsi" w:hAnsiTheme="majorHAnsi" w:cstheme="majorHAnsi"/>
          <w:i/>
          <w:szCs w:val="22"/>
        </w:rPr>
      </w:pPr>
    </w:p>
    <w:p w14:paraId="572C009E" w14:textId="635F144D" w:rsidR="00E41CBA" w:rsidRPr="001E51E3" w:rsidRDefault="00E41CBA" w:rsidP="00E41CBA">
      <w:pPr>
        <w:pStyle w:val="Zwykytekst"/>
        <w:jc w:val="both"/>
        <w:rPr>
          <w:rFonts w:asciiTheme="majorHAnsi" w:hAnsiTheme="majorHAnsi" w:cstheme="majorHAnsi"/>
          <w:b/>
          <w:bCs/>
          <w:i/>
          <w:szCs w:val="22"/>
        </w:rPr>
      </w:pPr>
      <w:r w:rsidRPr="005F721F">
        <w:rPr>
          <w:rFonts w:asciiTheme="majorHAnsi" w:hAnsiTheme="majorHAnsi" w:cstheme="majorHAnsi"/>
          <w:i/>
          <w:szCs w:val="22"/>
          <w:lang w:bidi="en-GB"/>
        </w:rPr>
        <w:t xml:space="preserve">Please find below information on selected and, in our opinion, most significant </w:t>
      </w:r>
      <w:r w:rsidRPr="005F721F">
        <w:rPr>
          <w:rFonts w:asciiTheme="majorHAnsi" w:hAnsiTheme="majorHAnsi" w:cstheme="majorHAnsi"/>
          <w:b/>
          <w:i/>
          <w:szCs w:val="22"/>
          <w:lang w:bidi="en-GB"/>
        </w:rPr>
        <w:t>amendments in provisions on taxation of business activity entering into force in 2023.</w:t>
      </w:r>
    </w:p>
    <w:p w14:paraId="4E209BC4" w14:textId="77777777" w:rsidR="00E41CBA" w:rsidRPr="005F721F" w:rsidRDefault="00E41CBA" w:rsidP="00E41CBA">
      <w:pPr>
        <w:pStyle w:val="Zwykytekst"/>
        <w:jc w:val="both"/>
        <w:rPr>
          <w:rFonts w:asciiTheme="majorHAnsi" w:hAnsiTheme="majorHAnsi" w:cstheme="majorHAnsi"/>
          <w:i/>
          <w:szCs w:val="22"/>
        </w:rPr>
      </w:pPr>
    </w:p>
    <w:p w14:paraId="20030F01" w14:textId="77777777" w:rsidR="00F1765C" w:rsidRDefault="00E41CBA" w:rsidP="00E41CBA">
      <w:pPr>
        <w:pStyle w:val="Zwykytekst"/>
        <w:jc w:val="both"/>
        <w:rPr>
          <w:rFonts w:asciiTheme="majorHAnsi" w:hAnsiTheme="majorHAnsi" w:cstheme="majorHAnsi"/>
          <w:i/>
          <w:szCs w:val="22"/>
          <w:lang w:bidi="en-GB"/>
        </w:rPr>
      </w:pPr>
      <w:r w:rsidRPr="005F721F">
        <w:rPr>
          <w:rFonts w:asciiTheme="majorHAnsi" w:hAnsiTheme="majorHAnsi" w:cstheme="majorHAnsi"/>
          <w:i/>
          <w:szCs w:val="22"/>
          <w:lang w:bidi="en-GB"/>
        </w:rPr>
        <w:t>We hope that you find the information useful.</w:t>
      </w:r>
    </w:p>
    <w:p w14:paraId="50171ACF" w14:textId="483B24E4" w:rsidR="00E41CBA" w:rsidRPr="005F721F" w:rsidRDefault="00E41CBA" w:rsidP="00E41CBA">
      <w:pPr>
        <w:pStyle w:val="Zwykytekst"/>
        <w:tabs>
          <w:tab w:val="left" w:pos="5490"/>
        </w:tabs>
        <w:jc w:val="both"/>
        <w:rPr>
          <w:rFonts w:asciiTheme="majorHAnsi" w:hAnsiTheme="majorHAnsi" w:cstheme="majorHAnsi"/>
          <w:i/>
          <w:szCs w:val="22"/>
        </w:rPr>
      </w:pPr>
      <w:r w:rsidRPr="005F721F">
        <w:rPr>
          <w:rFonts w:asciiTheme="majorHAnsi" w:hAnsiTheme="majorHAnsi" w:cstheme="majorHAnsi"/>
          <w:i/>
          <w:szCs w:val="22"/>
          <w:lang w:bidi="en-GB"/>
        </w:rPr>
        <w:tab/>
      </w:r>
    </w:p>
    <w:p w14:paraId="216C5F5A" w14:textId="3748E130" w:rsidR="00E41CBA" w:rsidRPr="005F721F" w:rsidRDefault="00E41CBA" w:rsidP="00E41CBA">
      <w:pPr>
        <w:pStyle w:val="Zwykytekst"/>
        <w:jc w:val="both"/>
        <w:rPr>
          <w:rFonts w:asciiTheme="majorHAnsi" w:hAnsiTheme="majorHAnsi" w:cstheme="majorHAnsi"/>
          <w:i/>
          <w:szCs w:val="22"/>
        </w:rPr>
      </w:pPr>
      <w:r w:rsidRPr="005F721F">
        <w:rPr>
          <w:rFonts w:asciiTheme="majorHAnsi" w:hAnsiTheme="majorHAnsi" w:cstheme="majorHAnsi"/>
          <w:i/>
          <w:szCs w:val="22"/>
          <w:lang w:bidi="en-GB"/>
        </w:rPr>
        <w:t>The Mac Auditor Team</w:t>
      </w:r>
      <w:r w:rsidRPr="005F721F">
        <w:rPr>
          <w:rFonts w:asciiTheme="majorHAnsi" w:hAnsiTheme="majorHAnsi" w:cstheme="majorHAnsi"/>
          <w:i/>
          <w:szCs w:val="22"/>
          <w:lang w:bidi="en-GB"/>
        </w:rPr>
        <w:tab/>
      </w:r>
      <w:r w:rsidRPr="005F721F">
        <w:rPr>
          <w:rFonts w:asciiTheme="majorHAnsi" w:hAnsiTheme="majorHAnsi" w:cstheme="majorHAnsi"/>
          <w:i/>
          <w:szCs w:val="22"/>
          <w:lang w:bidi="en-GB"/>
        </w:rPr>
        <w:tab/>
      </w:r>
    </w:p>
    <w:p w14:paraId="5592C59A" w14:textId="5E4762EA" w:rsidR="00E41CBA" w:rsidRPr="005F721F" w:rsidRDefault="00731AD7" w:rsidP="00731AD7">
      <w:pPr>
        <w:pStyle w:val="Akapitzlist"/>
        <w:tabs>
          <w:tab w:val="left" w:pos="8769"/>
        </w:tabs>
        <w:jc w:val="both"/>
        <w:rPr>
          <w:rFonts w:asciiTheme="majorHAnsi" w:hAnsiTheme="majorHAnsi" w:cstheme="majorHAnsi"/>
          <w:b/>
          <w:sz w:val="22"/>
          <w:szCs w:val="22"/>
        </w:rPr>
      </w:pPr>
      <w:r w:rsidRPr="005F721F">
        <w:rPr>
          <w:rFonts w:asciiTheme="majorHAnsi" w:hAnsiTheme="majorHAnsi" w:cstheme="majorHAnsi"/>
          <w:b/>
          <w:sz w:val="22"/>
          <w:szCs w:val="22"/>
          <w:lang w:bidi="en-GB"/>
        </w:rPr>
        <w:tab/>
      </w:r>
    </w:p>
    <w:p w14:paraId="55C87786" w14:textId="77777777" w:rsidR="00E41CBA" w:rsidRPr="005F721F" w:rsidRDefault="00E41CBA" w:rsidP="00E41CBA">
      <w:pPr>
        <w:pStyle w:val="Zwykytekst"/>
        <w:jc w:val="center"/>
        <w:rPr>
          <w:rFonts w:asciiTheme="majorHAnsi" w:hAnsiTheme="majorHAnsi" w:cstheme="majorHAnsi"/>
          <w:color w:val="EFC812"/>
          <w:szCs w:val="22"/>
        </w:rPr>
      </w:pPr>
      <w:r w:rsidRPr="005F721F">
        <w:rPr>
          <w:rFonts w:asciiTheme="majorHAnsi" w:hAnsiTheme="majorHAnsi" w:cstheme="majorHAnsi"/>
          <w:color w:val="EFC812"/>
          <w:szCs w:val="22"/>
          <w:lang w:bidi="en-GB"/>
        </w:rPr>
        <w:t>*</w:t>
      </w:r>
      <w:r w:rsidRPr="005F721F">
        <w:rPr>
          <w:rFonts w:asciiTheme="majorHAnsi" w:hAnsiTheme="majorHAnsi" w:cstheme="majorHAnsi"/>
          <w:color w:val="EFC812"/>
          <w:szCs w:val="22"/>
          <w:lang w:bidi="en-GB"/>
        </w:rPr>
        <w:tab/>
        <w:t>*</w:t>
      </w:r>
      <w:r w:rsidRPr="005F721F">
        <w:rPr>
          <w:rFonts w:asciiTheme="majorHAnsi" w:hAnsiTheme="majorHAnsi" w:cstheme="majorHAnsi"/>
          <w:color w:val="EFC812"/>
          <w:szCs w:val="22"/>
          <w:lang w:bidi="en-GB"/>
        </w:rPr>
        <w:tab/>
        <w:t>*</w:t>
      </w:r>
    </w:p>
    <w:p w14:paraId="069E2D6B" w14:textId="5A8A1AAA" w:rsidR="00E41CBA" w:rsidRPr="00F53A5B" w:rsidRDefault="00E41CBA" w:rsidP="00E41CBA">
      <w:pPr>
        <w:pStyle w:val="Zwykytekst"/>
        <w:jc w:val="center"/>
        <w:rPr>
          <w:rFonts w:asciiTheme="majorHAnsi" w:hAnsiTheme="majorHAnsi" w:cstheme="majorHAnsi"/>
          <w:color w:val="EFC8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194"/>
      </w:tblGrid>
      <w:tr w:rsidR="00F53A5B" w:rsidRPr="00F53A5B" w14:paraId="39100965" w14:textId="77777777" w:rsidTr="00C81E68">
        <w:tc>
          <w:tcPr>
            <w:tcW w:w="10194" w:type="dxa"/>
            <w:shd w:val="clear" w:color="auto" w:fill="444854"/>
          </w:tcPr>
          <w:p w14:paraId="61FAF27A" w14:textId="77777777" w:rsidR="006529F3" w:rsidRPr="00D93AFF" w:rsidRDefault="006529F3" w:rsidP="006529F3">
            <w:pPr>
              <w:pStyle w:val="Zwykytekst"/>
              <w:rPr>
                <w:rFonts w:asciiTheme="majorHAnsi" w:hAnsiTheme="majorHAnsi" w:cstheme="majorHAnsi"/>
                <w:b/>
                <w:color w:val="EFC812"/>
                <w:sz w:val="20"/>
                <w:szCs w:val="20"/>
              </w:rPr>
            </w:pPr>
            <w:r w:rsidRPr="00F53A5B">
              <w:rPr>
                <w:rFonts w:asciiTheme="majorHAnsi" w:hAnsiTheme="majorHAnsi" w:cstheme="majorHAnsi"/>
                <w:b/>
                <w:color w:val="EFC812"/>
                <w:sz w:val="20"/>
                <w:szCs w:val="20"/>
                <w:lang w:bidi="en-GB"/>
              </w:rPr>
              <w:t>Table of contents</w:t>
            </w:r>
          </w:p>
          <w:p w14:paraId="7335202A" w14:textId="77777777" w:rsidR="006529F3" w:rsidRPr="00D93AFF" w:rsidRDefault="006529F3" w:rsidP="00A5165C">
            <w:pPr>
              <w:pStyle w:val="Zwykytekst"/>
              <w:spacing w:before="60"/>
              <w:rPr>
                <w:rFonts w:asciiTheme="majorHAnsi" w:hAnsiTheme="majorHAnsi" w:cstheme="majorHAnsi"/>
                <w:color w:val="EFC812"/>
                <w:sz w:val="20"/>
                <w:szCs w:val="20"/>
              </w:rPr>
            </w:pPr>
          </w:p>
          <w:p w14:paraId="7A9A1D18" w14:textId="4518803F" w:rsidR="00F1765C" w:rsidRPr="00F1765C" w:rsidRDefault="006529F3">
            <w:pPr>
              <w:pStyle w:val="Spistreci1"/>
              <w:rPr>
                <w:rFonts w:asciiTheme="minorHAnsi" w:eastAsiaTheme="minorEastAsia" w:hAnsiTheme="minorHAnsi" w:cstheme="minorBidi"/>
                <w:b w:val="0"/>
                <w:bCs w:val="0"/>
                <w:color w:val="EFC812"/>
                <w:sz w:val="22"/>
                <w:szCs w:val="22"/>
                <w:lang w:val="pl-PL" w:eastAsia="pl-PL"/>
              </w:rPr>
            </w:pPr>
            <w:r w:rsidRPr="00D93AFF">
              <w:rPr>
                <w:color w:val="EFC812"/>
                <w:sz w:val="20"/>
                <w:szCs w:val="20"/>
                <w:lang w:bidi="en-GB"/>
              </w:rPr>
              <w:fldChar w:fldCharType="begin"/>
            </w:r>
            <w:r w:rsidRPr="00D93AFF">
              <w:rPr>
                <w:color w:val="EFC812"/>
                <w:sz w:val="20"/>
                <w:szCs w:val="20"/>
                <w:lang w:bidi="en-GB"/>
              </w:rPr>
              <w:instrText xml:space="preserve"> TOC \o "2-3" \h \z \t "Styl1;1;Styl2;2" </w:instrText>
            </w:r>
            <w:r w:rsidRPr="00D93AFF">
              <w:rPr>
                <w:color w:val="EFC812"/>
                <w:sz w:val="20"/>
                <w:szCs w:val="20"/>
                <w:lang w:bidi="en-GB"/>
              </w:rPr>
              <w:fldChar w:fldCharType="separate"/>
            </w:r>
            <w:hyperlink w:anchor="_Toc128041977" w:history="1">
              <w:r w:rsidR="00F1765C" w:rsidRPr="00F1765C">
                <w:rPr>
                  <w:rStyle w:val="Hipercze"/>
                  <w:rFonts w:ascii="Calibri Light" w:hAnsi="Calibri Light" w:cs="Calibri Light"/>
                  <w:color w:val="EFC812"/>
                </w:rPr>
                <w:t>1.</w:t>
              </w:r>
              <w:r w:rsidR="00F1765C" w:rsidRPr="00F1765C">
                <w:rPr>
                  <w:rFonts w:asciiTheme="minorHAnsi" w:eastAsiaTheme="minorEastAsia" w:hAnsiTheme="minorHAnsi" w:cstheme="minorBidi"/>
                  <w:b w:val="0"/>
                  <w:bCs w:val="0"/>
                  <w:color w:val="EFC812"/>
                  <w:sz w:val="22"/>
                  <w:szCs w:val="22"/>
                  <w:lang w:val="pl-PL" w:eastAsia="pl-PL"/>
                </w:rPr>
                <w:tab/>
              </w:r>
              <w:r w:rsidR="00F1765C" w:rsidRPr="00F1765C">
                <w:rPr>
                  <w:rStyle w:val="Hipercze"/>
                  <w:rFonts w:asciiTheme="majorHAnsi" w:hAnsiTheme="majorHAnsi" w:cstheme="majorHAnsi"/>
                  <w:color w:val="EFC812"/>
                  <w:lang w:bidi="en-GB"/>
                </w:rPr>
                <w:t>Minimum income tax – deferral until 2024 and other changes [CIT]</w:t>
              </w:r>
              <w:r w:rsidR="00F1765C" w:rsidRPr="00F1765C">
                <w:rPr>
                  <w:webHidden/>
                  <w:color w:val="EFC812"/>
                </w:rPr>
                <w:tab/>
              </w:r>
              <w:r w:rsidR="00F1765C" w:rsidRPr="00F1765C">
                <w:rPr>
                  <w:webHidden/>
                  <w:color w:val="EFC812"/>
                </w:rPr>
                <w:fldChar w:fldCharType="begin"/>
              </w:r>
              <w:r w:rsidR="00F1765C" w:rsidRPr="00F1765C">
                <w:rPr>
                  <w:webHidden/>
                  <w:color w:val="EFC812"/>
                </w:rPr>
                <w:instrText xml:space="preserve"> PAGEREF _Toc128041977 \h </w:instrText>
              </w:r>
              <w:r w:rsidR="00F1765C" w:rsidRPr="00F1765C">
                <w:rPr>
                  <w:webHidden/>
                  <w:color w:val="EFC812"/>
                </w:rPr>
              </w:r>
              <w:r w:rsidR="00F1765C" w:rsidRPr="00F1765C">
                <w:rPr>
                  <w:webHidden/>
                  <w:color w:val="EFC812"/>
                </w:rPr>
                <w:fldChar w:fldCharType="separate"/>
              </w:r>
              <w:r w:rsidR="00F1765C" w:rsidRPr="00F1765C">
                <w:rPr>
                  <w:webHidden/>
                  <w:color w:val="EFC812"/>
                </w:rPr>
                <w:t>1</w:t>
              </w:r>
              <w:r w:rsidR="00F1765C" w:rsidRPr="00F1765C">
                <w:rPr>
                  <w:webHidden/>
                  <w:color w:val="EFC812"/>
                </w:rPr>
                <w:fldChar w:fldCharType="end"/>
              </w:r>
            </w:hyperlink>
          </w:p>
          <w:p w14:paraId="055B1723" w14:textId="3A752B7B"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78" w:history="1">
              <w:r w:rsidRPr="00F1765C">
                <w:rPr>
                  <w:rStyle w:val="Hipercze"/>
                  <w:rFonts w:ascii="Calibri Light" w:hAnsi="Calibri Light" w:cs="Calibri Light"/>
                  <w:color w:val="EFC812"/>
                </w:rPr>
                <w:t>2.</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HAnsi"/>
                  <w:color w:val="EFC812"/>
                  <w:lang w:bidi="en-GB"/>
                </w:rPr>
                <w:t>Obligation to send books to the tax office [PIT, CIT]</w:t>
              </w:r>
              <w:r w:rsidRPr="00F1765C">
                <w:rPr>
                  <w:webHidden/>
                  <w:color w:val="EFC812"/>
                </w:rPr>
                <w:tab/>
              </w:r>
              <w:r w:rsidRPr="00F1765C">
                <w:rPr>
                  <w:webHidden/>
                  <w:color w:val="EFC812"/>
                </w:rPr>
                <w:fldChar w:fldCharType="begin"/>
              </w:r>
              <w:r w:rsidRPr="00F1765C">
                <w:rPr>
                  <w:webHidden/>
                  <w:color w:val="EFC812"/>
                </w:rPr>
                <w:instrText xml:space="preserve"> PAGEREF _Toc128041978 \h </w:instrText>
              </w:r>
              <w:r w:rsidRPr="00F1765C">
                <w:rPr>
                  <w:webHidden/>
                  <w:color w:val="EFC812"/>
                </w:rPr>
              </w:r>
              <w:r w:rsidRPr="00F1765C">
                <w:rPr>
                  <w:webHidden/>
                  <w:color w:val="EFC812"/>
                </w:rPr>
                <w:fldChar w:fldCharType="separate"/>
              </w:r>
              <w:r w:rsidRPr="00F1765C">
                <w:rPr>
                  <w:webHidden/>
                  <w:color w:val="EFC812"/>
                </w:rPr>
                <w:t>4</w:t>
              </w:r>
              <w:r w:rsidRPr="00F1765C">
                <w:rPr>
                  <w:webHidden/>
                  <w:color w:val="EFC812"/>
                </w:rPr>
                <w:fldChar w:fldCharType="end"/>
              </w:r>
            </w:hyperlink>
          </w:p>
          <w:p w14:paraId="12933F1B" w14:textId="36DA00D7"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79" w:history="1">
              <w:r w:rsidRPr="00F1765C">
                <w:rPr>
                  <w:rStyle w:val="Hipercze"/>
                  <w:rFonts w:ascii="Calibri Light" w:hAnsi="Calibri Light" w:cs="Calibri Light"/>
                  <w:color w:val="EFC812"/>
                </w:rPr>
                <w:t>3.</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HAnsi"/>
                  <w:color w:val="EFC812"/>
                  <w:lang w:bidi="en-GB"/>
                </w:rPr>
                <w:t>Depreciation of residential premises as non-tax cost [PIT, CIT]</w:t>
              </w:r>
              <w:r w:rsidRPr="00F1765C">
                <w:rPr>
                  <w:webHidden/>
                  <w:color w:val="EFC812"/>
                </w:rPr>
                <w:tab/>
              </w:r>
              <w:r w:rsidRPr="00F1765C">
                <w:rPr>
                  <w:webHidden/>
                  <w:color w:val="EFC812"/>
                </w:rPr>
                <w:fldChar w:fldCharType="begin"/>
              </w:r>
              <w:r w:rsidRPr="00F1765C">
                <w:rPr>
                  <w:webHidden/>
                  <w:color w:val="EFC812"/>
                </w:rPr>
                <w:instrText xml:space="preserve"> PAGEREF _Toc128041979 \h </w:instrText>
              </w:r>
              <w:r w:rsidRPr="00F1765C">
                <w:rPr>
                  <w:webHidden/>
                  <w:color w:val="EFC812"/>
                </w:rPr>
              </w:r>
              <w:r w:rsidRPr="00F1765C">
                <w:rPr>
                  <w:webHidden/>
                  <w:color w:val="EFC812"/>
                </w:rPr>
                <w:fldChar w:fldCharType="separate"/>
              </w:r>
              <w:r w:rsidRPr="00F1765C">
                <w:rPr>
                  <w:webHidden/>
                  <w:color w:val="EFC812"/>
                </w:rPr>
                <w:t>4</w:t>
              </w:r>
              <w:r w:rsidRPr="00F1765C">
                <w:rPr>
                  <w:webHidden/>
                  <w:color w:val="EFC812"/>
                </w:rPr>
                <w:fldChar w:fldCharType="end"/>
              </w:r>
            </w:hyperlink>
          </w:p>
          <w:p w14:paraId="35E8BAC9" w14:textId="086A3DA8"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80" w:history="1">
              <w:r w:rsidRPr="00F1765C">
                <w:rPr>
                  <w:rStyle w:val="Hipercze"/>
                  <w:rFonts w:ascii="Calibri Light" w:hAnsi="Calibri Light" w:cs="Calibri Light"/>
                  <w:color w:val="EFC812"/>
                </w:rPr>
                <w:t>4.</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Tax on passed-on income [CIT]</w:t>
              </w:r>
              <w:r w:rsidRPr="00F1765C">
                <w:rPr>
                  <w:webHidden/>
                  <w:color w:val="EFC812"/>
                </w:rPr>
                <w:tab/>
              </w:r>
              <w:r w:rsidRPr="00F1765C">
                <w:rPr>
                  <w:webHidden/>
                  <w:color w:val="EFC812"/>
                </w:rPr>
                <w:fldChar w:fldCharType="begin"/>
              </w:r>
              <w:r w:rsidRPr="00F1765C">
                <w:rPr>
                  <w:webHidden/>
                  <w:color w:val="EFC812"/>
                </w:rPr>
                <w:instrText xml:space="preserve"> PAGEREF _Toc128041980 \h </w:instrText>
              </w:r>
              <w:r w:rsidRPr="00F1765C">
                <w:rPr>
                  <w:webHidden/>
                  <w:color w:val="EFC812"/>
                </w:rPr>
              </w:r>
              <w:r w:rsidRPr="00F1765C">
                <w:rPr>
                  <w:webHidden/>
                  <w:color w:val="EFC812"/>
                </w:rPr>
                <w:fldChar w:fldCharType="separate"/>
              </w:r>
              <w:r w:rsidRPr="00F1765C">
                <w:rPr>
                  <w:webHidden/>
                  <w:color w:val="EFC812"/>
                </w:rPr>
                <w:t>5</w:t>
              </w:r>
              <w:r w:rsidRPr="00F1765C">
                <w:rPr>
                  <w:webHidden/>
                  <w:color w:val="EFC812"/>
                </w:rPr>
                <w:fldChar w:fldCharType="end"/>
              </w:r>
            </w:hyperlink>
          </w:p>
          <w:p w14:paraId="3C5291E7" w14:textId="6992E7E1"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81" w:history="1">
              <w:r w:rsidRPr="00F1765C">
                <w:rPr>
                  <w:rStyle w:val="Hipercze"/>
                  <w:rFonts w:ascii="Calibri Light" w:hAnsi="Calibri Light" w:cs="Calibri Light"/>
                  <w:color w:val="EFC812"/>
                </w:rPr>
                <w:t>5.</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Lump sum tax on income in companies [ESTONIAN CIT]</w:t>
              </w:r>
              <w:r w:rsidRPr="00F1765C">
                <w:rPr>
                  <w:webHidden/>
                  <w:color w:val="EFC812"/>
                </w:rPr>
                <w:tab/>
              </w:r>
              <w:r w:rsidRPr="00F1765C">
                <w:rPr>
                  <w:webHidden/>
                  <w:color w:val="EFC812"/>
                </w:rPr>
                <w:fldChar w:fldCharType="begin"/>
              </w:r>
              <w:r w:rsidRPr="00F1765C">
                <w:rPr>
                  <w:webHidden/>
                  <w:color w:val="EFC812"/>
                </w:rPr>
                <w:instrText xml:space="preserve"> PAGEREF _Toc128041981 \h </w:instrText>
              </w:r>
              <w:r w:rsidRPr="00F1765C">
                <w:rPr>
                  <w:webHidden/>
                  <w:color w:val="EFC812"/>
                </w:rPr>
              </w:r>
              <w:r w:rsidRPr="00F1765C">
                <w:rPr>
                  <w:webHidden/>
                  <w:color w:val="EFC812"/>
                </w:rPr>
                <w:fldChar w:fldCharType="separate"/>
              </w:r>
              <w:r w:rsidRPr="00F1765C">
                <w:rPr>
                  <w:webHidden/>
                  <w:color w:val="EFC812"/>
                </w:rPr>
                <w:t>6</w:t>
              </w:r>
              <w:r w:rsidRPr="00F1765C">
                <w:rPr>
                  <w:webHidden/>
                  <w:color w:val="EFC812"/>
                </w:rPr>
                <w:fldChar w:fldCharType="end"/>
              </w:r>
            </w:hyperlink>
          </w:p>
          <w:p w14:paraId="46B41F70" w14:textId="273B8D2D"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82" w:history="1">
              <w:r w:rsidRPr="00F1765C">
                <w:rPr>
                  <w:rStyle w:val="Hipercze"/>
                  <w:rFonts w:ascii="Calibri Light" w:hAnsi="Calibri Light" w:cs="Calibri Light"/>
                  <w:color w:val="EFC812"/>
                </w:rPr>
                <w:t>6.</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HAnsi"/>
                  <w:color w:val="EFC812"/>
                  <w:lang w:bidi="en-GB"/>
                </w:rPr>
                <w:t>Repealing provisions on hidden dividends [CIT]</w:t>
              </w:r>
              <w:r w:rsidRPr="00F1765C">
                <w:rPr>
                  <w:webHidden/>
                  <w:color w:val="EFC812"/>
                </w:rPr>
                <w:tab/>
              </w:r>
              <w:r w:rsidRPr="00F1765C">
                <w:rPr>
                  <w:webHidden/>
                  <w:color w:val="EFC812"/>
                </w:rPr>
                <w:fldChar w:fldCharType="begin"/>
              </w:r>
              <w:r w:rsidRPr="00F1765C">
                <w:rPr>
                  <w:webHidden/>
                  <w:color w:val="EFC812"/>
                </w:rPr>
                <w:instrText xml:space="preserve"> PAGEREF _Toc128041982 \h </w:instrText>
              </w:r>
              <w:r w:rsidRPr="00F1765C">
                <w:rPr>
                  <w:webHidden/>
                  <w:color w:val="EFC812"/>
                </w:rPr>
              </w:r>
              <w:r w:rsidRPr="00F1765C">
                <w:rPr>
                  <w:webHidden/>
                  <w:color w:val="EFC812"/>
                </w:rPr>
                <w:fldChar w:fldCharType="separate"/>
              </w:r>
              <w:r w:rsidRPr="00F1765C">
                <w:rPr>
                  <w:webHidden/>
                  <w:color w:val="EFC812"/>
                </w:rPr>
                <w:t>8</w:t>
              </w:r>
              <w:r w:rsidRPr="00F1765C">
                <w:rPr>
                  <w:webHidden/>
                  <w:color w:val="EFC812"/>
                </w:rPr>
                <w:fldChar w:fldCharType="end"/>
              </w:r>
            </w:hyperlink>
          </w:p>
          <w:p w14:paraId="0726E156" w14:textId="5BF0D2E5"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83" w:history="1">
              <w:r w:rsidRPr="00F1765C">
                <w:rPr>
                  <w:rStyle w:val="Hipercze"/>
                  <w:rFonts w:ascii="Calibri Light" w:hAnsi="Calibri Light" w:cs="Calibri Light"/>
                  <w:color w:val="EFC812"/>
                </w:rPr>
                <w:t>7.</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Debt financing costs [CIT]</w:t>
              </w:r>
              <w:r w:rsidRPr="00F1765C">
                <w:rPr>
                  <w:webHidden/>
                  <w:color w:val="EFC812"/>
                </w:rPr>
                <w:tab/>
              </w:r>
              <w:r w:rsidRPr="00F1765C">
                <w:rPr>
                  <w:webHidden/>
                  <w:color w:val="EFC812"/>
                </w:rPr>
                <w:fldChar w:fldCharType="begin"/>
              </w:r>
              <w:r w:rsidRPr="00F1765C">
                <w:rPr>
                  <w:webHidden/>
                  <w:color w:val="EFC812"/>
                </w:rPr>
                <w:instrText xml:space="preserve"> PAGEREF _Toc128041983 \h </w:instrText>
              </w:r>
              <w:r w:rsidRPr="00F1765C">
                <w:rPr>
                  <w:webHidden/>
                  <w:color w:val="EFC812"/>
                </w:rPr>
              </w:r>
              <w:r w:rsidRPr="00F1765C">
                <w:rPr>
                  <w:webHidden/>
                  <w:color w:val="EFC812"/>
                </w:rPr>
                <w:fldChar w:fldCharType="separate"/>
              </w:r>
              <w:r w:rsidRPr="00F1765C">
                <w:rPr>
                  <w:webHidden/>
                  <w:color w:val="EFC812"/>
                </w:rPr>
                <w:t>8</w:t>
              </w:r>
              <w:r w:rsidRPr="00F1765C">
                <w:rPr>
                  <w:webHidden/>
                  <w:color w:val="EFC812"/>
                </w:rPr>
                <w:fldChar w:fldCharType="end"/>
              </w:r>
            </w:hyperlink>
          </w:p>
          <w:p w14:paraId="799F44F4" w14:textId="376687D5"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84" w:history="1">
              <w:r w:rsidRPr="00F1765C">
                <w:rPr>
                  <w:rStyle w:val="Hipercze"/>
                  <w:rFonts w:ascii="Calibri Light" w:hAnsi="Calibri Light" w:cs="Calibri Light"/>
                  <w:color w:val="EFC812"/>
                </w:rPr>
                <w:t>8.</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Holding company [CIT]</w:t>
              </w:r>
              <w:r w:rsidRPr="00F1765C">
                <w:rPr>
                  <w:webHidden/>
                  <w:color w:val="EFC812"/>
                </w:rPr>
                <w:tab/>
              </w:r>
              <w:r w:rsidRPr="00F1765C">
                <w:rPr>
                  <w:webHidden/>
                  <w:color w:val="EFC812"/>
                </w:rPr>
                <w:fldChar w:fldCharType="begin"/>
              </w:r>
              <w:r w:rsidRPr="00F1765C">
                <w:rPr>
                  <w:webHidden/>
                  <w:color w:val="EFC812"/>
                </w:rPr>
                <w:instrText xml:space="preserve"> PAGEREF _Toc128041984 \h </w:instrText>
              </w:r>
              <w:r w:rsidRPr="00F1765C">
                <w:rPr>
                  <w:webHidden/>
                  <w:color w:val="EFC812"/>
                </w:rPr>
              </w:r>
              <w:r w:rsidRPr="00F1765C">
                <w:rPr>
                  <w:webHidden/>
                  <w:color w:val="EFC812"/>
                </w:rPr>
                <w:fldChar w:fldCharType="separate"/>
              </w:r>
              <w:r w:rsidRPr="00F1765C">
                <w:rPr>
                  <w:webHidden/>
                  <w:color w:val="EFC812"/>
                </w:rPr>
                <w:t>9</w:t>
              </w:r>
              <w:r w:rsidRPr="00F1765C">
                <w:rPr>
                  <w:webHidden/>
                  <w:color w:val="EFC812"/>
                </w:rPr>
                <w:fldChar w:fldCharType="end"/>
              </w:r>
            </w:hyperlink>
          </w:p>
          <w:p w14:paraId="6E2544FE" w14:textId="3E896A4E"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85" w:history="1">
              <w:r w:rsidRPr="00F1765C">
                <w:rPr>
                  <w:rStyle w:val="Hipercze"/>
                  <w:rFonts w:ascii="Calibri Light" w:hAnsi="Calibri Light" w:cs="Calibri Light"/>
                  <w:color w:val="EFC812"/>
                </w:rPr>
                <w:t>9.</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Bad debt relief [CIT, PIT]</w:t>
              </w:r>
              <w:r w:rsidRPr="00F1765C">
                <w:rPr>
                  <w:webHidden/>
                  <w:color w:val="EFC812"/>
                </w:rPr>
                <w:tab/>
              </w:r>
              <w:r w:rsidRPr="00F1765C">
                <w:rPr>
                  <w:webHidden/>
                  <w:color w:val="EFC812"/>
                </w:rPr>
                <w:fldChar w:fldCharType="begin"/>
              </w:r>
              <w:r w:rsidRPr="00F1765C">
                <w:rPr>
                  <w:webHidden/>
                  <w:color w:val="EFC812"/>
                </w:rPr>
                <w:instrText xml:space="preserve"> PAGEREF _Toc128041985 \h </w:instrText>
              </w:r>
              <w:r w:rsidRPr="00F1765C">
                <w:rPr>
                  <w:webHidden/>
                  <w:color w:val="EFC812"/>
                </w:rPr>
              </w:r>
              <w:r w:rsidRPr="00F1765C">
                <w:rPr>
                  <w:webHidden/>
                  <w:color w:val="EFC812"/>
                </w:rPr>
                <w:fldChar w:fldCharType="separate"/>
              </w:r>
              <w:r w:rsidRPr="00F1765C">
                <w:rPr>
                  <w:webHidden/>
                  <w:color w:val="EFC812"/>
                </w:rPr>
                <w:t>9</w:t>
              </w:r>
              <w:r w:rsidRPr="00F1765C">
                <w:rPr>
                  <w:webHidden/>
                  <w:color w:val="EFC812"/>
                </w:rPr>
                <w:fldChar w:fldCharType="end"/>
              </w:r>
            </w:hyperlink>
          </w:p>
          <w:p w14:paraId="26D4A3F5" w14:textId="26345661"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86" w:history="1">
              <w:r w:rsidRPr="00F1765C">
                <w:rPr>
                  <w:rStyle w:val="Hipercze"/>
                  <w:rFonts w:ascii="Calibri Light" w:hAnsi="Calibri Light" w:cs="Calibri Light"/>
                  <w:color w:val="EFC812"/>
                </w:rPr>
                <w:t>10.</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Social security contributions (ZUS) contributions and tax deductible costs [CIT, PIT]</w:t>
              </w:r>
              <w:r w:rsidRPr="00F1765C">
                <w:rPr>
                  <w:webHidden/>
                  <w:color w:val="EFC812"/>
                </w:rPr>
                <w:tab/>
              </w:r>
              <w:r w:rsidRPr="00F1765C">
                <w:rPr>
                  <w:webHidden/>
                  <w:color w:val="EFC812"/>
                </w:rPr>
                <w:fldChar w:fldCharType="begin"/>
              </w:r>
              <w:r w:rsidRPr="00F1765C">
                <w:rPr>
                  <w:webHidden/>
                  <w:color w:val="EFC812"/>
                </w:rPr>
                <w:instrText xml:space="preserve"> PAGEREF _Toc128041986 \h </w:instrText>
              </w:r>
              <w:r w:rsidRPr="00F1765C">
                <w:rPr>
                  <w:webHidden/>
                  <w:color w:val="EFC812"/>
                </w:rPr>
              </w:r>
              <w:r w:rsidRPr="00F1765C">
                <w:rPr>
                  <w:webHidden/>
                  <w:color w:val="EFC812"/>
                </w:rPr>
                <w:fldChar w:fldCharType="separate"/>
              </w:r>
              <w:r w:rsidRPr="00F1765C">
                <w:rPr>
                  <w:webHidden/>
                  <w:color w:val="EFC812"/>
                </w:rPr>
                <w:t>9</w:t>
              </w:r>
              <w:r w:rsidRPr="00F1765C">
                <w:rPr>
                  <w:webHidden/>
                  <w:color w:val="EFC812"/>
                </w:rPr>
                <w:fldChar w:fldCharType="end"/>
              </w:r>
            </w:hyperlink>
          </w:p>
          <w:p w14:paraId="46A2C632" w14:textId="7018B260"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87" w:history="1">
              <w:r w:rsidRPr="00F1765C">
                <w:rPr>
                  <w:rStyle w:val="Hipercze"/>
                  <w:rFonts w:ascii="Calibri Light" w:hAnsi="Calibri Light" w:cs="Calibri Light"/>
                  <w:color w:val="EFC812"/>
                </w:rPr>
                <w:t>11.</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Withholding tax. Change of the date of submission and validity of the original WHT-OSC [CIT-WHT] statement.</w:t>
              </w:r>
              <w:r w:rsidRPr="00F1765C">
                <w:rPr>
                  <w:webHidden/>
                  <w:color w:val="EFC812"/>
                </w:rPr>
                <w:tab/>
              </w:r>
              <w:r w:rsidRPr="00F1765C">
                <w:rPr>
                  <w:webHidden/>
                  <w:color w:val="EFC812"/>
                </w:rPr>
                <w:fldChar w:fldCharType="begin"/>
              </w:r>
              <w:r w:rsidRPr="00F1765C">
                <w:rPr>
                  <w:webHidden/>
                  <w:color w:val="EFC812"/>
                </w:rPr>
                <w:instrText xml:space="preserve"> PAGEREF _Toc128041987 \h </w:instrText>
              </w:r>
              <w:r w:rsidRPr="00F1765C">
                <w:rPr>
                  <w:webHidden/>
                  <w:color w:val="EFC812"/>
                </w:rPr>
              </w:r>
              <w:r w:rsidRPr="00F1765C">
                <w:rPr>
                  <w:webHidden/>
                  <w:color w:val="EFC812"/>
                </w:rPr>
                <w:fldChar w:fldCharType="separate"/>
              </w:r>
              <w:r w:rsidRPr="00F1765C">
                <w:rPr>
                  <w:webHidden/>
                  <w:color w:val="EFC812"/>
                </w:rPr>
                <w:t>9</w:t>
              </w:r>
              <w:r w:rsidRPr="00F1765C">
                <w:rPr>
                  <w:webHidden/>
                  <w:color w:val="EFC812"/>
                </w:rPr>
                <w:fldChar w:fldCharType="end"/>
              </w:r>
            </w:hyperlink>
          </w:p>
          <w:p w14:paraId="6D9A3DFC" w14:textId="15375CAA"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88" w:history="1">
              <w:r w:rsidRPr="00F1765C">
                <w:rPr>
                  <w:rStyle w:val="Hipercze"/>
                  <w:rFonts w:ascii="Calibri Light" w:hAnsi="Calibri Light" w:cs="Calibri Light"/>
                  <w:color w:val="EFC812"/>
                </w:rPr>
                <w:t>12.</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Selected amendments to transfer pricing regulations [CIT, PIT]</w:t>
              </w:r>
              <w:r w:rsidRPr="00F1765C">
                <w:rPr>
                  <w:webHidden/>
                  <w:color w:val="EFC812"/>
                </w:rPr>
                <w:tab/>
              </w:r>
              <w:r w:rsidRPr="00F1765C">
                <w:rPr>
                  <w:webHidden/>
                  <w:color w:val="EFC812"/>
                </w:rPr>
                <w:fldChar w:fldCharType="begin"/>
              </w:r>
              <w:r w:rsidRPr="00F1765C">
                <w:rPr>
                  <w:webHidden/>
                  <w:color w:val="EFC812"/>
                </w:rPr>
                <w:instrText xml:space="preserve"> PAGEREF _Toc128041988 \h </w:instrText>
              </w:r>
              <w:r w:rsidRPr="00F1765C">
                <w:rPr>
                  <w:webHidden/>
                  <w:color w:val="EFC812"/>
                </w:rPr>
              </w:r>
              <w:r w:rsidRPr="00F1765C">
                <w:rPr>
                  <w:webHidden/>
                  <w:color w:val="EFC812"/>
                </w:rPr>
                <w:fldChar w:fldCharType="separate"/>
              </w:r>
              <w:r w:rsidRPr="00F1765C">
                <w:rPr>
                  <w:webHidden/>
                  <w:color w:val="EFC812"/>
                </w:rPr>
                <w:t>10</w:t>
              </w:r>
              <w:r w:rsidRPr="00F1765C">
                <w:rPr>
                  <w:webHidden/>
                  <w:color w:val="EFC812"/>
                </w:rPr>
                <w:fldChar w:fldCharType="end"/>
              </w:r>
            </w:hyperlink>
          </w:p>
          <w:p w14:paraId="5148D3DF" w14:textId="56DDF6DB"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89" w:history="1">
              <w:r w:rsidRPr="00F1765C">
                <w:rPr>
                  <w:rStyle w:val="Hipercze"/>
                  <w:rFonts w:ascii="Calibri Light" w:hAnsi="Calibri Light" w:cs="Calibri Light"/>
                  <w:color w:val="EFC812"/>
                </w:rPr>
                <w:t>13.</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VAT group</w:t>
              </w:r>
              <w:r w:rsidRPr="00F1765C">
                <w:rPr>
                  <w:webHidden/>
                  <w:color w:val="EFC812"/>
                </w:rPr>
                <w:tab/>
              </w:r>
              <w:r w:rsidRPr="00F1765C">
                <w:rPr>
                  <w:webHidden/>
                  <w:color w:val="EFC812"/>
                </w:rPr>
                <w:fldChar w:fldCharType="begin"/>
              </w:r>
              <w:r w:rsidRPr="00F1765C">
                <w:rPr>
                  <w:webHidden/>
                  <w:color w:val="EFC812"/>
                </w:rPr>
                <w:instrText xml:space="preserve"> PAGEREF _Toc128041989 \h </w:instrText>
              </w:r>
              <w:r w:rsidRPr="00F1765C">
                <w:rPr>
                  <w:webHidden/>
                  <w:color w:val="EFC812"/>
                </w:rPr>
              </w:r>
              <w:r w:rsidRPr="00F1765C">
                <w:rPr>
                  <w:webHidden/>
                  <w:color w:val="EFC812"/>
                </w:rPr>
                <w:fldChar w:fldCharType="separate"/>
              </w:r>
              <w:r w:rsidRPr="00F1765C">
                <w:rPr>
                  <w:webHidden/>
                  <w:color w:val="EFC812"/>
                </w:rPr>
                <w:t>10</w:t>
              </w:r>
              <w:r w:rsidRPr="00F1765C">
                <w:rPr>
                  <w:webHidden/>
                  <w:color w:val="EFC812"/>
                </w:rPr>
                <w:fldChar w:fldCharType="end"/>
              </w:r>
            </w:hyperlink>
          </w:p>
          <w:p w14:paraId="71F4FE6E" w14:textId="2775CC38"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90" w:history="1">
              <w:r w:rsidRPr="00F1765C">
                <w:rPr>
                  <w:rStyle w:val="Hipercze"/>
                  <w:rFonts w:ascii="Calibri Light" w:hAnsi="Calibri Light" w:cs="Calibri Light"/>
                  <w:color w:val="EFC812"/>
                </w:rPr>
                <w:t>14.</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Change of tax rates [VAT]</w:t>
              </w:r>
              <w:r w:rsidRPr="00F1765C">
                <w:rPr>
                  <w:webHidden/>
                  <w:color w:val="EFC812"/>
                </w:rPr>
                <w:tab/>
              </w:r>
              <w:r w:rsidRPr="00F1765C">
                <w:rPr>
                  <w:webHidden/>
                  <w:color w:val="EFC812"/>
                </w:rPr>
                <w:fldChar w:fldCharType="begin"/>
              </w:r>
              <w:r w:rsidRPr="00F1765C">
                <w:rPr>
                  <w:webHidden/>
                  <w:color w:val="EFC812"/>
                </w:rPr>
                <w:instrText xml:space="preserve"> PAGEREF _Toc128041990 \h </w:instrText>
              </w:r>
              <w:r w:rsidRPr="00F1765C">
                <w:rPr>
                  <w:webHidden/>
                  <w:color w:val="EFC812"/>
                </w:rPr>
              </w:r>
              <w:r w:rsidRPr="00F1765C">
                <w:rPr>
                  <w:webHidden/>
                  <w:color w:val="EFC812"/>
                </w:rPr>
                <w:fldChar w:fldCharType="separate"/>
              </w:r>
              <w:r w:rsidRPr="00F1765C">
                <w:rPr>
                  <w:webHidden/>
                  <w:color w:val="EFC812"/>
                </w:rPr>
                <w:t>11</w:t>
              </w:r>
              <w:r w:rsidRPr="00F1765C">
                <w:rPr>
                  <w:webHidden/>
                  <w:color w:val="EFC812"/>
                </w:rPr>
                <w:fldChar w:fldCharType="end"/>
              </w:r>
            </w:hyperlink>
          </w:p>
          <w:p w14:paraId="5ED1BBCB" w14:textId="50E93309"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91" w:history="1">
              <w:r w:rsidRPr="00F1765C">
                <w:rPr>
                  <w:rStyle w:val="Hipercze"/>
                  <w:rFonts w:ascii="Calibri Light" w:hAnsi="Calibri Light" w:cs="Calibri Light"/>
                  <w:color w:val="EFC812"/>
                </w:rPr>
                <w:t>15.</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HAnsi"/>
                  <w:color w:val="EFC812"/>
                  <w:lang w:bidi="en-GB"/>
                </w:rPr>
                <w:t>SLIM VAT 3 – proposed changes from 1 April 2023 [VAT]</w:t>
              </w:r>
              <w:r w:rsidRPr="00F1765C">
                <w:rPr>
                  <w:webHidden/>
                  <w:color w:val="EFC812"/>
                </w:rPr>
                <w:tab/>
              </w:r>
              <w:r w:rsidRPr="00F1765C">
                <w:rPr>
                  <w:webHidden/>
                  <w:color w:val="EFC812"/>
                </w:rPr>
                <w:fldChar w:fldCharType="begin"/>
              </w:r>
              <w:r w:rsidRPr="00F1765C">
                <w:rPr>
                  <w:webHidden/>
                  <w:color w:val="EFC812"/>
                </w:rPr>
                <w:instrText xml:space="preserve"> PAGEREF _Toc128041991 \h </w:instrText>
              </w:r>
              <w:r w:rsidRPr="00F1765C">
                <w:rPr>
                  <w:webHidden/>
                  <w:color w:val="EFC812"/>
                </w:rPr>
              </w:r>
              <w:r w:rsidRPr="00F1765C">
                <w:rPr>
                  <w:webHidden/>
                  <w:color w:val="EFC812"/>
                </w:rPr>
                <w:fldChar w:fldCharType="separate"/>
              </w:r>
              <w:r w:rsidRPr="00F1765C">
                <w:rPr>
                  <w:webHidden/>
                  <w:color w:val="EFC812"/>
                </w:rPr>
                <w:t>11</w:t>
              </w:r>
              <w:r w:rsidRPr="00F1765C">
                <w:rPr>
                  <w:webHidden/>
                  <w:color w:val="EFC812"/>
                </w:rPr>
                <w:fldChar w:fldCharType="end"/>
              </w:r>
            </w:hyperlink>
          </w:p>
          <w:p w14:paraId="2F1E4213" w14:textId="7CD650A9"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92" w:history="1">
              <w:r w:rsidRPr="00F1765C">
                <w:rPr>
                  <w:rStyle w:val="Hipercze"/>
                  <w:rFonts w:ascii="Calibri Light" w:hAnsi="Calibri Light" w:cs="Calibri Light"/>
                  <w:color w:val="EFC812"/>
                </w:rPr>
                <w:t>16.</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Cash registers</w:t>
              </w:r>
              <w:r w:rsidRPr="00F1765C">
                <w:rPr>
                  <w:webHidden/>
                  <w:color w:val="EFC812"/>
                </w:rPr>
                <w:tab/>
              </w:r>
              <w:r w:rsidRPr="00F1765C">
                <w:rPr>
                  <w:webHidden/>
                  <w:color w:val="EFC812"/>
                </w:rPr>
                <w:fldChar w:fldCharType="begin"/>
              </w:r>
              <w:r w:rsidRPr="00F1765C">
                <w:rPr>
                  <w:webHidden/>
                  <w:color w:val="EFC812"/>
                </w:rPr>
                <w:instrText xml:space="preserve"> PAGEREF _Toc128041992 \h </w:instrText>
              </w:r>
              <w:r w:rsidRPr="00F1765C">
                <w:rPr>
                  <w:webHidden/>
                  <w:color w:val="EFC812"/>
                </w:rPr>
              </w:r>
              <w:r w:rsidRPr="00F1765C">
                <w:rPr>
                  <w:webHidden/>
                  <w:color w:val="EFC812"/>
                </w:rPr>
                <w:fldChar w:fldCharType="separate"/>
              </w:r>
              <w:r w:rsidRPr="00F1765C">
                <w:rPr>
                  <w:webHidden/>
                  <w:color w:val="EFC812"/>
                </w:rPr>
                <w:t>12</w:t>
              </w:r>
              <w:r w:rsidRPr="00F1765C">
                <w:rPr>
                  <w:webHidden/>
                  <w:color w:val="EFC812"/>
                </w:rPr>
                <w:fldChar w:fldCharType="end"/>
              </w:r>
            </w:hyperlink>
          </w:p>
          <w:p w14:paraId="36D998E3" w14:textId="7861BECD"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93" w:history="1">
              <w:r w:rsidRPr="00F1765C">
                <w:rPr>
                  <w:rStyle w:val="Hipercze"/>
                  <w:rFonts w:ascii="Calibri Light" w:hAnsi="Calibri Light" w:cs="Calibri Light"/>
                  <w:color w:val="EFC812"/>
                </w:rPr>
                <w:t>17.</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New limits for cash transactions for businesses and consumers - postponed</w:t>
              </w:r>
              <w:r w:rsidRPr="00F1765C">
                <w:rPr>
                  <w:webHidden/>
                  <w:color w:val="EFC812"/>
                </w:rPr>
                <w:tab/>
              </w:r>
              <w:r w:rsidRPr="00F1765C">
                <w:rPr>
                  <w:webHidden/>
                  <w:color w:val="EFC812"/>
                </w:rPr>
                <w:fldChar w:fldCharType="begin"/>
              </w:r>
              <w:r w:rsidRPr="00F1765C">
                <w:rPr>
                  <w:webHidden/>
                  <w:color w:val="EFC812"/>
                </w:rPr>
                <w:instrText xml:space="preserve"> PAGEREF _Toc128041993 \h </w:instrText>
              </w:r>
              <w:r w:rsidRPr="00F1765C">
                <w:rPr>
                  <w:webHidden/>
                  <w:color w:val="EFC812"/>
                </w:rPr>
              </w:r>
              <w:r w:rsidRPr="00F1765C">
                <w:rPr>
                  <w:webHidden/>
                  <w:color w:val="EFC812"/>
                </w:rPr>
                <w:fldChar w:fldCharType="separate"/>
              </w:r>
              <w:r w:rsidRPr="00F1765C">
                <w:rPr>
                  <w:webHidden/>
                  <w:color w:val="EFC812"/>
                </w:rPr>
                <w:t>12</w:t>
              </w:r>
              <w:r w:rsidRPr="00F1765C">
                <w:rPr>
                  <w:webHidden/>
                  <w:color w:val="EFC812"/>
                </w:rPr>
                <w:fldChar w:fldCharType="end"/>
              </w:r>
            </w:hyperlink>
          </w:p>
          <w:p w14:paraId="54CB08F7" w14:textId="5748603B"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94" w:history="1">
              <w:r w:rsidRPr="00F1765C">
                <w:rPr>
                  <w:rStyle w:val="Hipercze"/>
                  <w:rFonts w:ascii="Calibri Light" w:hAnsi="Calibri Light" w:cs="Calibri Light"/>
                  <w:color w:val="EFC812"/>
                </w:rPr>
                <w:t>18.</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Prolongation of the epidemic emergency</w:t>
              </w:r>
              <w:r w:rsidRPr="00F1765C">
                <w:rPr>
                  <w:webHidden/>
                  <w:color w:val="EFC812"/>
                </w:rPr>
                <w:tab/>
              </w:r>
              <w:r w:rsidRPr="00F1765C">
                <w:rPr>
                  <w:webHidden/>
                  <w:color w:val="EFC812"/>
                </w:rPr>
                <w:fldChar w:fldCharType="begin"/>
              </w:r>
              <w:r w:rsidRPr="00F1765C">
                <w:rPr>
                  <w:webHidden/>
                  <w:color w:val="EFC812"/>
                </w:rPr>
                <w:instrText xml:space="preserve"> PAGEREF _Toc128041994 \h </w:instrText>
              </w:r>
              <w:r w:rsidRPr="00F1765C">
                <w:rPr>
                  <w:webHidden/>
                  <w:color w:val="EFC812"/>
                </w:rPr>
              </w:r>
              <w:r w:rsidRPr="00F1765C">
                <w:rPr>
                  <w:webHidden/>
                  <w:color w:val="EFC812"/>
                </w:rPr>
                <w:fldChar w:fldCharType="separate"/>
              </w:r>
              <w:r w:rsidRPr="00F1765C">
                <w:rPr>
                  <w:webHidden/>
                  <w:color w:val="EFC812"/>
                </w:rPr>
                <w:t>12</w:t>
              </w:r>
              <w:r w:rsidRPr="00F1765C">
                <w:rPr>
                  <w:webHidden/>
                  <w:color w:val="EFC812"/>
                </w:rPr>
                <w:fldChar w:fldCharType="end"/>
              </w:r>
            </w:hyperlink>
          </w:p>
          <w:p w14:paraId="0C23D708" w14:textId="4931CD18"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95" w:history="1">
              <w:r w:rsidRPr="00F1765C">
                <w:rPr>
                  <w:rStyle w:val="Hipercze"/>
                  <w:rFonts w:ascii="Calibri Light" w:hAnsi="Calibri Light" w:cs="Calibri Light"/>
                  <w:color w:val="EFC812"/>
                </w:rPr>
                <w:t>19.</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Counteracting payment bottlenecks - changes in reporting</w:t>
              </w:r>
              <w:r w:rsidRPr="00F1765C">
                <w:rPr>
                  <w:webHidden/>
                  <w:color w:val="EFC812"/>
                </w:rPr>
                <w:tab/>
              </w:r>
              <w:r w:rsidRPr="00F1765C">
                <w:rPr>
                  <w:webHidden/>
                  <w:color w:val="EFC812"/>
                </w:rPr>
                <w:fldChar w:fldCharType="begin"/>
              </w:r>
              <w:r w:rsidRPr="00F1765C">
                <w:rPr>
                  <w:webHidden/>
                  <w:color w:val="EFC812"/>
                </w:rPr>
                <w:instrText xml:space="preserve"> PAGEREF _Toc128041995 \h </w:instrText>
              </w:r>
              <w:r w:rsidRPr="00F1765C">
                <w:rPr>
                  <w:webHidden/>
                  <w:color w:val="EFC812"/>
                </w:rPr>
              </w:r>
              <w:r w:rsidRPr="00F1765C">
                <w:rPr>
                  <w:webHidden/>
                  <w:color w:val="EFC812"/>
                </w:rPr>
                <w:fldChar w:fldCharType="separate"/>
              </w:r>
              <w:r w:rsidRPr="00F1765C">
                <w:rPr>
                  <w:webHidden/>
                  <w:color w:val="EFC812"/>
                </w:rPr>
                <w:t>13</w:t>
              </w:r>
              <w:r w:rsidRPr="00F1765C">
                <w:rPr>
                  <w:webHidden/>
                  <w:color w:val="EFC812"/>
                </w:rPr>
                <w:fldChar w:fldCharType="end"/>
              </w:r>
            </w:hyperlink>
          </w:p>
          <w:p w14:paraId="55FD0594" w14:textId="42ECF15D" w:rsidR="00F1765C" w:rsidRPr="00F1765C" w:rsidRDefault="00F1765C">
            <w:pPr>
              <w:pStyle w:val="Spistreci1"/>
              <w:rPr>
                <w:rFonts w:asciiTheme="minorHAnsi" w:eastAsiaTheme="minorEastAsia" w:hAnsiTheme="minorHAnsi" w:cstheme="minorBidi"/>
                <w:b w:val="0"/>
                <w:bCs w:val="0"/>
                <w:color w:val="EFC812"/>
                <w:sz w:val="22"/>
                <w:szCs w:val="22"/>
                <w:lang w:val="pl-PL" w:eastAsia="pl-PL"/>
              </w:rPr>
            </w:pPr>
            <w:hyperlink w:anchor="_Toc128041996" w:history="1">
              <w:r w:rsidRPr="00F1765C">
                <w:rPr>
                  <w:rStyle w:val="Hipercze"/>
                  <w:rFonts w:ascii="Calibri Light" w:hAnsi="Calibri Light" w:cs="Calibri Light"/>
                  <w:color w:val="EFC812"/>
                </w:rPr>
                <w:t>20.</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Allowances</w:t>
              </w:r>
              <w:r w:rsidRPr="00F1765C">
                <w:rPr>
                  <w:webHidden/>
                  <w:color w:val="EFC812"/>
                </w:rPr>
                <w:tab/>
              </w:r>
              <w:r w:rsidRPr="00F1765C">
                <w:rPr>
                  <w:webHidden/>
                  <w:color w:val="EFC812"/>
                </w:rPr>
                <w:fldChar w:fldCharType="begin"/>
              </w:r>
              <w:r w:rsidRPr="00F1765C">
                <w:rPr>
                  <w:webHidden/>
                  <w:color w:val="EFC812"/>
                </w:rPr>
                <w:instrText xml:space="preserve"> PAGEREF _Toc128041996 \h </w:instrText>
              </w:r>
              <w:r w:rsidRPr="00F1765C">
                <w:rPr>
                  <w:webHidden/>
                  <w:color w:val="EFC812"/>
                </w:rPr>
              </w:r>
              <w:r w:rsidRPr="00F1765C">
                <w:rPr>
                  <w:webHidden/>
                  <w:color w:val="EFC812"/>
                </w:rPr>
                <w:fldChar w:fldCharType="separate"/>
              </w:r>
              <w:r w:rsidRPr="00F1765C">
                <w:rPr>
                  <w:webHidden/>
                  <w:color w:val="EFC812"/>
                </w:rPr>
                <w:t>13</w:t>
              </w:r>
              <w:r w:rsidRPr="00F1765C">
                <w:rPr>
                  <w:webHidden/>
                  <w:color w:val="EFC812"/>
                </w:rPr>
                <w:fldChar w:fldCharType="end"/>
              </w:r>
            </w:hyperlink>
          </w:p>
          <w:p w14:paraId="66CBD707" w14:textId="79A35A74" w:rsidR="00F1765C" w:rsidRDefault="00F1765C">
            <w:pPr>
              <w:pStyle w:val="Spistreci1"/>
              <w:rPr>
                <w:rFonts w:asciiTheme="minorHAnsi" w:eastAsiaTheme="minorEastAsia" w:hAnsiTheme="minorHAnsi" w:cstheme="minorBidi"/>
                <w:b w:val="0"/>
                <w:bCs w:val="0"/>
                <w:color w:val="auto"/>
                <w:sz w:val="22"/>
                <w:szCs w:val="22"/>
                <w:lang w:val="pl-PL" w:eastAsia="pl-PL"/>
              </w:rPr>
            </w:pPr>
            <w:hyperlink w:anchor="_Toc128041997" w:history="1">
              <w:r w:rsidRPr="00F1765C">
                <w:rPr>
                  <w:rStyle w:val="Hipercze"/>
                  <w:rFonts w:ascii="Calibri Light" w:hAnsi="Calibri Light" w:cs="Calibri Light"/>
                  <w:color w:val="EFC812"/>
                </w:rPr>
                <w:t>21.</w:t>
              </w:r>
              <w:r w:rsidRPr="00F1765C">
                <w:rPr>
                  <w:rFonts w:asciiTheme="minorHAnsi" w:eastAsiaTheme="minorEastAsia" w:hAnsiTheme="minorHAnsi" w:cstheme="minorBidi"/>
                  <w:b w:val="0"/>
                  <w:bCs w:val="0"/>
                  <w:color w:val="EFC812"/>
                  <w:sz w:val="22"/>
                  <w:szCs w:val="22"/>
                  <w:lang w:val="pl-PL" w:eastAsia="pl-PL"/>
                </w:rPr>
                <w:tab/>
              </w:r>
              <w:r w:rsidRPr="00F1765C">
                <w:rPr>
                  <w:rStyle w:val="Hipercze"/>
                  <w:rFonts w:asciiTheme="majorHAnsi" w:hAnsiTheme="majorHAnsi" w:cstheme="majorBidi"/>
                  <w:color w:val="EFC812"/>
                  <w:lang w:bidi="en-GB"/>
                </w:rPr>
                <w:t>Tax reliefs – reminder [CIT, PIT]</w:t>
              </w:r>
              <w:r w:rsidRPr="00F1765C">
                <w:rPr>
                  <w:webHidden/>
                  <w:color w:val="EFC812"/>
                </w:rPr>
                <w:tab/>
              </w:r>
              <w:r w:rsidRPr="00F1765C">
                <w:rPr>
                  <w:webHidden/>
                  <w:color w:val="EFC812"/>
                </w:rPr>
                <w:fldChar w:fldCharType="begin"/>
              </w:r>
              <w:r w:rsidRPr="00F1765C">
                <w:rPr>
                  <w:webHidden/>
                  <w:color w:val="EFC812"/>
                </w:rPr>
                <w:instrText xml:space="preserve"> PAGEREF _Toc128041997 \h </w:instrText>
              </w:r>
              <w:r w:rsidRPr="00F1765C">
                <w:rPr>
                  <w:webHidden/>
                  <w:color w:val="EFC812"/>
                </w:rPr>
              </w:r>
              <w:r w:rsidRPr="00F1765C">
                <w:rPr>
                  <w:webHidden/>
                  <w:color w:val="EFC812"/>
                </w:rPr>
                <w:fldChar w:fldCharType="separate"/>
              </w:r>
              <w:r w:rsidRPr="00F1765C">
                <w:rPr>
                  <w:webHidden/>
                  <w:color w:val="EFC812"/>
                </w:rPr>
                <w:t>13</w:t>
              </w:r>
              <w:r w:rsidRPr="00F1765C">
                <w:rPr>
                  <w:webHidden/>
                  <w:color w:val="EFC812"/>
                </w:rPr>
                <w:fldChar w:fldCharType="end"/>
              </w:r>
            </w:hyperlink>
          </w:p>
          <w:p w14:paraId="0FA1463B" w14:textId="350526B3" w:rsidR="006529F3" w:rsidRPr="00F53A5B" w:rsidRDefault="006529F3" w:rsidP="00A5165C">
            <w:pPr>
              <w:pStyle w:val="Zwykytekst"/>
              <w:spacing w:before="60"/>
              <w:rPr>
                <w:rFonts w:asciiTheme="majorHAnsi" w:hAnsiTheme="majorHAnsi" w:cstheme="majorHAnsi"/>
                <w:color w:val="EFC812"/>
                <w:sz w:val="20"/>
                <w:szCs w:val="20"/>
              </w:rPr>
            </w:pPr>
            <w:r w:rsidRPr="00D93AFF">
              <w:rPr>
                <w:rFonts w:asciiTheme="majorHAnsi" w:hAnsiTheme="majorHAnsi" w:cstheme="majorHAnsi"/>
                <w:color w:val="EFC812"/>
                <w:sz w:val="20"/>
                <w:szCs w:val="20"/>
                <w:lang w:bidi="en-GB"/>
              </w:rPr>
              <w:fldChar w:fldCharType="end"/>
            </w:r>
          </w:p>
        </w:tc>
      </w:tr>
    </w:tbl>
    <w:p w14:paraId="7D411E43" w14:textId="46617CFA" w:rsidR="00E41CBA" w:rsidRDefault="00E41CBA" w:rsidP="006529F3">
      <w:pPr>
        <w:pStyle w:val="Zwykytekst"/>
        <w:rPr>
          <w:rFonts w:asciiTheme="majorHAnsi" w:hAnsiTheme="majorHAnsi" w:cstheme="majorHAnsi"/>
          <w:color w:val="EFC812"/>
          <w:szCs w:val="22"/>
        </w:rPr>
      </w:pPr>
    </w:p>
    <w:p w14:paraId="78608F1D" w14:textId="471CD365" w:rsidR="000935C2" w:rsidRDefault="00F53A5B" w:rsidP="00F53A5B">
      <w:pPr>
        <w:pStyle w:val="Zwykytekst"/>
        <w:jc w:val="both"/>
        <w:rPr>
          <w:rFonts w:asciiTheme="majorHAnsi" w:hAnsiTheme="majorHAnsi" w:cstheme="majorHAnsi"/>
          <w:i/>
          <w:szCs w:val="22"/>
        </w:rPr>
      </w:pPr>
      <w:r w:rsidRPr="00F53A5B">
        <w:rPr>
          <w:rFonts w:asciiTheme="majorHAnsi" w:hAnsiTheme="majorHAnsi" w:cstheme="majorHAnsi"/>
          <w:i/>
          <w:szCs w:val="22"/>
          <w:lang w:bidi="en-GB"/>
        </w:rPr>
        <w:t>Main legal acts on which this brochure is based:</w:t>
      </w:r>
    </w:p>
    <w:p w14:paraId="34F9344B" w14:textId="3882E45E" w:rsidR="00A8206A" w:rsidRDefault="001A6E95" w:rsidP="00A8206A">
      <w:pPr>
        <w:pStyle w:val="Zwykytekst"/>
        <w:numPr>
          <w:ilvl w:val="0"/>
          <w:numId w:val="21"/>
        </w:numPr>
        <w:jc w:val="both"/>
        <w:rPr>
          <w:rFonts w:asciiTheme="majorHAnsi" w:hAnsiTheme="majorHAnsi" w:cstheme="majorHAnsi"/>
          <w:i/>
          <w:szCs w:val="22"/>
        </w:rPr>
      </w:pPr>
      <w:r w:rsidRPr="001A6E95">
        <w:rPr>
          <w:rFonts w:asciiTheme="majorHAnsi" w:hAnsiTheme="majorHAnsi" w:cstheme="majorHAnsi"/>
          <w:i/>
          <w:szCs w:val="22"/>
          <w:lang w:bidi="en-GB"/>
        </w:rPr>
        <w:t xml:space="preserve">the </w:t>
      </w:r>
      <w:hyperlink r:id="rId11" w:history="1">
        <w:r w:rsidR="00A8206A" w:rsidRPr="00A8206A">
          <w:rPr>
            <w:rStyle w:val="Hipercze"/>
            <w:rFonts w:asciiTheme="majorHAnsi" w:hAnsiTheme="majorHAnsi" w:cstheme="majorHAnsi"/>
            <w:i/>
            <w:szCs w:val="22"/>
            <w:lang w:bidi="en-GB"/>
          </w:rPr>
          <w:t>Act of 9 June 2022</w:t>
        </w:r>
      </w:hyperlink>
      <w:r w:rsidRPr="001A6E95">
        <w:rPr>
          <w:rFonts w:asciiTheme="majorHAnsi" w:hAnsiTheme="majorHAnsi" w:cstheme="majorHAnsi"/>
          <w:i/>
          <w:szCs w:val="22"/>
          <w:lang w:bidi="en-GB"/>
        </w:rPr>
        <w:t xml:space="preserve"> amending the Corporate Income Tax Act and certain other acts</w:t>
      </w:r>
    </w:p>
    <w:p w14:paraId="37E69CA3" w14:textId="1188A755" w:rsidR="00F53A5B" w:rsidRDefault="001A6E95" w:rsidP="001A6E95">
      <w:pPr>
        <w:pStyle w:val="Zwykytekst"/>
        <w:numPr>
          <w:ilvl w:val="0"/>
          <w:numId w:val="21"/>
        </w:numPr>
        <w:jc w:val="both"/>
        <w:rPr>
          <w:rFonts w:asciiTheme="majorHAnsi" w:hAnsiTheme="majorHAnsi" w:cstheme="majorHAnsi"/>
          <w:i/>
          <w:szCs w:val="22"/>
        </w:rPr>
      </w:pPr>
      <w:r w:rsidRPr="001A6E95">
        <w:rPr>
          <w:rFonts w:asciiTheme="majorHAnsi" w:hAnsiTheme="majorHAnsi" w:cstheme="majorHAnsi"/>
          <w:i/>
          <w:szCs w:val="22"/>
          <w:lang w:bidi="en-GB"/>
        </w:rPr>
        <w:t xml:space="preserve">the </w:t>
      </w:r>
      <w:hyperlink r:id="rId12" w:history="1">
        <w:r w:rsidR="00A8206A" w:rsidRPr="00A8206A">
          <w:rPr>
            <w:rStyle w:val="Hipercze"/>
            <w:rFonts w:asciiTheme="majorHAnsi" w:hAnsiTheme="majorHAnsi" w:cstheme="majorHAnsi"/>
            <w:i/>
            <w:szCs w:val="22"/>
            <w:lang w:bidi="en-GB"/>
          </w:rPr>
          <w:t>Act of 7 October 2022</w:t>
        </w:r>
      </w:hyperlink>
      <w:r w:rsidRPr="001A6E95">
        <w:rPr>
          <w:rFonts w:asciiTheme="majorHAnsi" w:hAnsiTheme="majorHAnsi" w:cstheme="majorHAnsi"/>
          <w:i/>
          <w:szCs w:val="22"/>
          <w:lang w:bidi="en-GB"/>
        </w:rPr>
        <w:t xml:space="preserve"> amending the Corporate Income Tax Act and certain other acts</w:t>
      </w:r>
    </w:p>
    <w:p w14:paraId="0BFEA104" w14:textId="7E3FF92E" w:rsidR="001A6E95" w:rsidRDefault="001A6E95" w:rsidP="00D33C38">
      <w:pPr>
        <w:pStyle w:val="Zwykytekst"/>
        <w:numPr>
          <w:ilvl w:val="0"/>
          <w:numId w:val="21"/>
        </w:numPr>
        <w:jc w:val="both"/>
        <w:rPr>
          <w:rFonts w:asciiTheme="majorHAnsi" w:hAnsiTheme="majorHAnsi" w:cstheme="majorHAnsi"/>
          <w:i/>
          <w:szCs w:val="22"/>
        </w:rPr>
      </w:pPr>
      <w:r w:rsidRPr="001A6E95">
        <w:rPr>
          <w:rFonts w:asciiTheme="majorHAnsi" w:hAnsiTheme="majorHAnsi" w:cstheme="majorHAnsi"/>
          <w:i/>
          <w:szCs w:val="22"/>
          <w:lang w:bidi="en-GB"/>
        </w:rPr>
        <w:t xml:space="preserve">the </w:t>
      </w:r>
      <w:hyperlink r:id="rId13" w:history="1">
        <w:r w:rsidRPr="001A6E95">
          <w:rPr>
            <w:rStyle w:val="Hipercze"/>
            <w:rFonts w:asciiTheme="majorHAnsi" w:hAnsiTheme="majorHAnsi" w:cstheme="majorHAnsi"/>
            <w:i/>
            <w:szCs w:val="22"/>
            <w:lang w:bidi="en-GB"/>
          </w:rPr>
          <w:t>Act of 4 November 2022</w:t>
        </w:r>
      </w:hyperlink>
      <w:r w:rsidRPr="001A6E95">
        <w:rPr>
          <w:rFonts w:asciiTheme="majorHAnsi" w:hAnsiTheme="majorHAnsi" w:cstheme="majorHAnsi"/>
          <w:i/>
          <w:szCs w:val="22"/>
          <w:lang w:bidi="en-GB"/>
        </w:rPr>
        <w:t xml:space="preserve"> amending the act on counteracting excessive delays in commercial transactions and the public finance act</w:t>
      </w:r>
    </w:p>
    <w:p w14:paraId="06132A59" w14:textId="0548EF3E" w:rsidR="00A8206A" w:rsidRPr="00D93AFF" w:rsidRDefault="00160AD3" w:rsidP="00F53A5B">
      <w:pPr>
        <w:pStyle w:val="Zwykytekst"/>
        <w:numPr>
          <w:ilvl w:val="0"/>
          <w:numId w:val="21"/>
        </w:numPr>
        <w:jc w:val="both"/>
        <w:rPr>
          <w:rFonts w:asciiTheme="majorHAnsi" w:hAnsiTheme="majorHAnsi" w:cstheme="majorHAnsi"/>
          <w:i/>
          <w:szCs w:val="22"/>
        </w:rPr>
      </w:pPr>
      <w:hyperlink r:id="rId14" w:history="1">
        <w:r w:rsidR="00D93AFF">
          <w:rPr>
            <w:rStyle w:val="Hipercze"/>
            <w:rFonts w:asciiTheme="majorHAnsi" w:hAnsiTheme="majorHAnsi" w:cstheme="majorHAnsi"/>
            <w:i/>
            <w:szCs w:val="22"/>
            <w:lang w:bidi="en-GB"/>
          </w:rPr>
          <w:t>Regulation of the Minister of Family and Social Policy of 25 October 2022</w:t>
        </w:r>
      </w:hyperlink>
      <w:r w:rsidR="00D93AFF" w:rsidRPr="00D93AFF">
        <w:rPr>
          <w:rFonts w:asciiTheme="majorHAnsi" w:hAnsiTheme="majorHAnsi" w:cstheme="majorHAnsi"/>
          <w:i/>
          <w:szCs w:val="22"/>
          <w:lang w:bidi="en-GB"/>
        </w:rPr>
        <w:t xml:space="preserve"> amending the Regulation on receivables due to an employee of a budget-related, state or local government unit for business travel</w:t>
      </w:r>
    </w:p>
    <w:p w14:paraId="40A941AD" w14:textId="77777777" w:rsidR="00F53A5B" w:rsidRDefault="00F53A5B" w:rsidP="00DA2035">
      <w:pPr>
        <w:pStyle w:val="Zwykytekst"/>
        <w:jc w:val="center"/>
        <w:rPr>
          <w:rFonts w:asciiTheme="majorHAnsi" w:hAnsiTheme="majorHAnsi" w:cstheme="majorHAnsi"/>
          <w:color w:val="EFC812"/>
          <w:szCs w:val="22"/>
        </w:rPr>
      </w:pPr>
    </w:p>
    <w:p w14:paraId="6B5329A4" w14:textId="6A13B1BF" w:rsidR="00DA2035" w:rsidRDefault="00DA2035" w:rsidP="00CA39E4">
      <w:pPr>
        <w:pStyle w:val="Zwykytekst"/>
        <w:tabs>
          <w:tab w:val="left" w:pos="2124"/>
          <w:tab w:val="center" w:pos="5102"/>
        </w:tabs>
        <w:rPr>
          <w:rFonts w:asciiTheme="majorHAnsi" w:hAnsiTheme="majorHAnsi" w:cstheme="majorHAnsi"/>
          <w:color w:val="EFC812"/>
          <w:szCs w:val="22"/>
          <w:lang w:bidi="en-GB"/>
        </w:rPr>
      </w:pPr>
      <w:r w:rsidRPr="005F721F">
        <w:rPr>
          <w:rFonts w:asciiTheme="majorHAnsi" w:hAnsiTheme="majorHAnsi" w:cstheme="majorHAnsi"/>
          <w:color w:val="EFC812"/>
          <w:szCs w:val="22"/>
          <w:lang w:bidi="en-GB"/>
        </w:rPr>
        <w:tab/>
      </w:r>
      <w:r w:rsidRPr="005F721F">
        <w:rPr>
          <w:rFonts w:asciiTheme="majorHAnsi" w:hAnsiTheme="majorHAnsi" w:cstheme="majorHAnsi"/>
          <w:color w:val="EFC812"/>
          <w:szCs w:val="22"/>
          <w:lang w:bidi="en-GB"/>
        </w:rPr>
        <w:tab/>
        <w:t>*</w:t>
      </w:r>
      <w:r w:rsidRPr="005F721F">
        <w:rPr>
          <w:rFonts w:asciiTheme="majorHAnsi" w:hAnsiTheme="majorHAnsi" w:cstheme="majorHAnsi"/>
          <w:color w:val="EFC812"/>
          <w:szCs w:val="22"/>
          <w:lang w:bidi="en-GB"/>
        </w:rPr>
        <w:tab/>
        <w:t>*</w:t>
      </w:r>
      <w:r w:rsidRPr="005F721F">
        <w:rPr>
          <w:rFonts w:asciiTheme="majorHAnsi" w:hAnsiTheme="majorHAnsi" w:cstheme="majorHAnsi"/>
          <w:color w:val="EFC812"/>
          <w:szCs w:val="22"/>
          <w:lang w:bidi="en-GB"/>
        </w:rPr>
        <w:tab/>
        <w:t>*</w:t>
      </w:r>
    </w:p>
    <w:p w14:paraId="1096EF11" w14:textId="095E0A43" w:rsidR="00F1765C" w:rsidRDefault="00F1765C" w:rsidP="00CA39E4">
      <w:pPr>
        <w:pStyle w:val="Zwykytekst"/>
        <w:tabs>
          <w:tab w:val="left" w:pos="2124"/>
          <w:tab w:val="center" w:pos="5102"/>
        </w:tabs>
        <w:rPr>
          <w:rFonts w:asciiTheme="majorHAnsi" w:hAnsiTheme="majorHAnsi" w:cstheme="majorHAnsi"/>
          <w:color w:val="EFC812"/>
          <w:szCs w:val="22"/>
        </w:rPr>
      </w:pPr>
    </w:p>
    <w:p w14:paraId="77BC70D2" w14:textId="1341293E" w:rsidR="00F1765C" w:rsidRDefault="00F1765C" w:rsidP="00CA39E4">
      <w:pPr>
        <w:pStyle w:val="Zwykytekst"/>
        <w:tabs>
          <w:tab w:val="left" w:pos="2124"/>
          <w:tab w:val="center" w:pos="5102"/>
        </w:tabs>
        <w:rPr>
          <w:rFonts w:asciiTheme="majorHAnsi" w:hAnsiTheme="majorHAnsi" w:cstheme="majorHAnsi"/>
          <w:color w:val="EFC812"/>
          <w:szCs w:val="22"/>
        </w:rPr>
      </w:pPr>
    </w:p>
    <w:p w14:paraId="45D7FA3A" w14:textId="77777777" w:rsidR="00F1765C" w:rsidRPr="005F721F" w:rsidRDefault="00F1765C" w:rsidP="00CA39E4">
      <w:pPr>
        <w:pStyle w:val="Zwykytekst"/>
        <w:tabs>
          <w:tab w:val="left" w:pos="2124"/>
          <w:tab w:val="center" w:pos="5102"/>
        </w:tabs>
        <w:rPr>
          <w:rFonts w:asciiTheme="majorHAnsi" w:hAnsiTheme="majorHAnsi" w:cstheme="majorHAnsi"/>
          <w:color w:val="EFC81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D70B73" w:rsidRPr="00170DCB" w14:paraId="23356D65" w14:textId="77777777" w:rsidTr="00E0234E">
        <w:tc>
          <w:tcPr>
            <w:tcW w:w="10211" w:type="dxa"/>
            <w:shd w:val="clear" w:color="auto" w:fill="444854"/>
          </w:tcPr>
          <w:p w14:paraId="38F82879" w14:textId="764E9AE3" w:rsidR="00D70B73" w:rsidRPr="00170DCB" w:rsidRDefault="006B6DB3" w:rsidP="00D70B73">
            <w:pPr>
              <w:pStyle w:val="Styl1"/>
              <w:spacing w:before="120" w:after="120"/>
              <w:ind w:left="357" w:hanging="357"/>
              <w:rPr>
                <w:rFonts w:asciiTheme="majorHAnsi" w:hAnsiTheme="majorHAnsi" w:cstheme="majorHAnsi"/>
                <w:color w:val="EFC812"/>
                <w:szCs w:val="22"/>
              </w:rPr>
            </w:pPr>
            <w:r>
              <w:rPr>
                <w:rFonts w:asciiTheme="majorHAnsi" w:hAnsiTheme="majorHAnsi" w:cstheme="majorHAnsi"/>
                <w:lang w:bidi="en-GB"/>
              </w:rPr>
              <w:br w:type="page"/>
            </w:r>
            <w:bookmarkStart w:id="0" w:name="_Hlk59361989"/>
            <w:bookmarkStart w:id="1" w:name="_Toc128041977"/>
            <w:r w:rsidR="00796E76">
              <w:rPr>
                <w:rFonts w:asciiTheme="majorHAnsi" w:hAnsiTheme="majorHAnsi" w:cstheme="majorHAnsi"/>
                <w:color w:val="EFC812"/>
                <w:szCs w:val="22"/>
                <w:lang w:bidi="en-GB"/>
              </w:rPr>
              <w:t>Minimum income tax – deferral until 2024 and other changes [CIT]</w:t>
            </w:r>
            <w:bookmarkEnd w:id="1"/>
          </w:p>
        </w:tc>
      </w:tr>
    </w:tbl>
    <w:p w14:paraId="65B1A7C0" w14:textId="77777777" w:rsidR="00BF3C71" w:rsidRDefault="00BF3C71" w:rsidP="00BF3C71">
      <w:pPr>
        <w:spacing w:before="120" w:after="0" w:line="240" w:lineRule="auto"/>
        <w:jc w:val="both"/>
        <w:rPr>
          <w:rFonts w:asciiTheme="majorHAnsi" w:hAnsiTheme="majorHAnsi" w:cstheme="majorBidi"/>
        </w:rPr>
      </w:pPr>
      <w:r w:rsidRPr="79E03DEC">
        <w:rPr>
          <w:rFonts w:asciiTheme="majorHAnsi" w:hAnsiTheme="majorHAnsi" w:cstheme="majorBidi"/>
          <w:lang w:bidi="en-GB"/>
        </w:rPr>
        <w:lastRenderedPageBreak/>
        <w:t xml:space="preserve">By the amendment of the Act of 7 October 2022 amending the Corporate Income Tax Act and certain other acts, </w:t>
      </w:r>
      <w:r w:rsidRPr="79E03DEC">
        <w:rPr>
          <w:rFonts w:asciiTheme="majorHAnsi" w:hAnsiTheme="majorHAnsi" w:cstheme="majorBidi"/>
          <w:b/>
          <w:lang w:bidi="en-GB"/>
        </w:rPr>
        <w:t>the legislator postponed the entry into force of the provisions concerning the minimum income tax until 1 January 2024</w:t>
      </w:r>
      <w:r w:rsidRPr="79E03DEC">
        <w:rPr>
          <w:rFonts w:asciiTheme="majorHAnsi" w:hAnsiTheme="majorHAnsi" w:cstheme="majorBidi"/>
          <w:lang w:bidi="en-GB"/>
        </w:rPr>
        <w:t xml:space="preserve"> and introduced a number of changes in the current provisions in this scope (i.e. Article 24c of the CIT Act).</w:t>
      </w:r>
    </w:p>
    <w:p w14:paraId="6E92CE3D" w14:textId="77777777" w:rsidR="00F1765C" w:rsidRDefault="00BF3C71" w:rsidP="00BF3C71">
      <w:pPr>
        <w:spacing w:before="120" w:after="0" w:line="240" w:lineRule="auto"/>
        <w:jc w:val="both"/>
        <w:rPr>
          <w:rFonts w:asciiTheme="majorHAnsi" w:hAnsiTheme="majorHAnsi" w:cstheme="majorBidi"/>
          <w:lang w:bidi="en-GB"/>
        </w:rPr>
      </w:pPr>
      <w:r w:rsidRPr="79E03DEC">
        <w:rPr>
          <w:rFonts w:asciiTheme="majorHAnsi" w:hAnsiTheme="majorHAnsi" w:cstheme="majorBidi"/>
          <w:lang w:bidi="en-GB"/>
        </w:rPr>
        <w:t xml:space="preserve">The general assumptions concerning the </w:t>
      </w:r>
      <w:r w:rsidRPr="79E03DEC">
        <w:rPr>
          <w:rFonts w:asciiTheme="majorHAnsi" w:hAnsiTheme="majorHAnsi" w:cstheme="majorBidi"/>
          <w:b/>
          <w:lang w:bidi="en-GB"/>
        </w:rPr>
        <w:t>minimum income tax</w:t>
      </w:r>
      <w:r w:rsidRPr="79E03DEC">
        <w:rPr>
          <w:rFonts w:asciiTheme="majorHAnsi" w:hAnsiTheme="majorHAnsi" w:cstheme="majorBidi"/>
          <w:lang w:bidi="en-GB"/>
        </w:rPr>
        <w:t xml:space="preserve"> (hereinafter referred to as </w:t>
      </w:r>
      <w:r w:rsidRPr="79E03DEC">
        <w:rPr>
          <w:rFonts w:asciiTheme="majorHAnsi" w:hAnsiTheme="majorHAnsi" w:cstheme="majorBidi"/>
          <w:b/>
          <w:lang w:bidi="en-GB"/>
        </w:rPr>
        <w:t>MIT</w:t>
      </w:r>
      <w:r w:rsidRPr="79E03DEC">
        <w:rPr>
          <w:rFonts w:asciiTheme="majorHAnsi" w:hAnsiTheme="majorHAnsi" w:cstheme="majorBidi"/>
          <w:lang w:bidi="en-GB"/>
        </w:rPr>
        <w:t>) in the wording effective as of 1 January 2023 are presented below.</w:t>
      </w:r>
    </w:p>
    <w:p w14:paraId="435DD51A" w14:textId="30635A7A" w:rsidR="00BF3C71" w:rsidRPr="00170DCB" w:rsidRDefault="00BF3C71" w:rsidP="00BF3C71">
      <w:pPr>
        <w:suppressAutoHyphens w:val="0"/>
        <w:autoSpaceDN/>
        <w:spacing w:before="120" w:after="0" w:line="240" w:lineRule="auto"/>
        <w:jc w:val="both"/>
        <w:textAlignment w:val="auto"/>
        <w:rPr>
          <w:rFonts w:asciiTheme="majorHAnsi" w:hAnsiTheme="majorHAnsi" w:cstheme="majorHAnsi"/>
        </w:rPr>
      </w:pPr>
      <w:r w:rsidRPr="00170DCB">
        <w:rPr>
          <w:rFonts w:asciiTheme="majorHAnsi" w:hAnsiTheme="majorHAnsi" w:cstheme="majorHAnsi"/>
          <w:lang w:bidi="en-GB"/>
        </w:rPr>
        <w:t>As a rule, the MIT applies to taxpayers who:</w:t>
      </w:r>
    </w:p>
    <w:p w14:paraId="1D9BB8C8" w14:textId="77777777" w:rsidR="00F1765C" w:rsidRDefault="00BF3C71" w:rsidP="00BF3C71">
      <w:pPr>
        <w:pStyle w:val="Akapitzlist"/>
        <w:numPr>
          <w:ilvl w:val="0"/>
          <w:numId w:val="2"/>
        </w:numPr>
        <w:jc w:val="both"/>
        <w:rPr>
          <w:rFonts w:asciiTheme="majorHAnsi" w:hAnsiTheme="majorHAnsi" w:cstheme="majorHAnsi"/>
          <w:sz w:val="22"/>
          <w:szCs w:val="22"/>
          <w:lang w:bidi="en-GB"/>
        </w:rPr>
      </w:pPr>
      <w:r w:rsidRPr="00170DCB">
        <w:rPr>
          <w:rFonts w:asciiTheme="majorHAnsi" w:hAnsiTheme="majorHAnsi" w:cstheme="majorHAnsi"/>
          <w:b/>
          <w:sz w:val="22"/>
          <w:szCs w:val="22"/>
          <w:lang w:bidi="en-GB"/>
        </w:rPr>
        <w:t>incurred a loss</w:t>
      </w:r>
      <w:r w:rsidRPr="00170DCB">
        <w:rPr>
          <w:rFonts w:asciiTheme="majorHAnsi" w:hAnsiTheme="majorHAnsi" w:cstheme="majorHAnsi"/>
          <w:sz w:val="22"/>
          <w:szCs w:val="22"/>
          <w:lang w:bidi="en-GB"/>
        </w:rPr>
        <w:t xml:space="preserve"> from the source of revenue other than capital gains or</w:t>
      </w:r>
    </w:p>
    <w:p w14:paraId="01CDA9B2" w14:textId="10FEE4C9" w:rsidR="00BF3C71" w:rsidRPr="00170DCB" w:rsidRDefault="00BF3C71" w:rsidP="00BF3C71">
      <w:pPr>
        <w:pStyle w:val="Akapitzlist"/>
        <w:numPr>
          <w:ilvl w:val="0"/>
          <w:numId w:val="2"/>
        </w:numPr>
        <w:jc w:val="both"/>
        <w:rPr>
          <w:rFonts w:asciiTheme="majorHAnsi" w:hAnsiTheme="majorHAnsi" w:cstheme="majorBidi"/>
          <w:sz w:val="22"/>
          <w:szCs w:val="22"/>
        </w:rPr>
      </w:pPr>
      <w:r w:rsidRPr="79E03DEC">
        <w:rPr>
          <w:rFonts w:asciiTheme="majorHAnsi" w:hAnsiTheme="majorHAnsi" w:cstheme="majorBidi"/>
          <w:b/>
          <w:sz w:val="22"/>
          <w:szCs w:val="22"/>
          <w:lang w:bidi="en-GB"/>
        </w:rPr>
        <w:t>achieved a share of income</w:t>
      </w:r>
      <w:r w:rsidRPr="79E03DEC">
        <w:rPr>
          <w:rFonts w:asciiTheme="majorHAnsi" w:hAnsiTheme="majorHAnsi" w:cstheme="majorBidi"/>
          <w:sz w:val="22"/>
          <w:szCs w:val="22"/>
          <w:lang w:bidi="en-GB"/>
        </w:rPr>
        <w:t xml:space="preserve"> from the source of revenue other than capital gains, determined in accordance with Article 7(1) of the CIT Act, </w:t>
      </w:r>
      <w:r w:rsidRPr="79E03DEC">
        <w:rPr>
          <w:rFonts w:asciiTheme="majorHAnsi" w:hAnsiTheme="majorHAnsi" w:cstheme="majorBidi"/>
          <w:b/>
          <w:sz w:val="22"/>
          <w:szCs w:val="22"/>
          <w:lang w:bidi="en-GB"/>
        </w:rPr>
        <w:t>in revenue</w:t>
      </w:r>
      <w:r w:rsidRPr="79E03DEC">
        <w:rPr>
          <w:rFonts w:asciiTheme="majorHAnsi" w:hAnsiTheme="majorHAnsi" w:cstheme="majorBidi"/>
          <w:sz w:val="22"/>
          <w:szCs w:val="22"/>
          <w:lang w:bidi="en-GB"/>
        </w:rPr>
        <w:t xml:space="preserve"> other than revenue from capital gains</w:t>
      </w:r>
      <w:r w:rsidRPr="79E03DEC">
        <w:rPr>
          <w:rFonts w:asciiTheme="majorHAnsi" w:hAnsiTheme="majorHAnsi" w:cstheme="majorBidi"/>
          <w:b/>
          <w:sz w:val="22"/>
          <w:szCs w:val="22"/>
          <w:lang w:bidi="en-GB"/>
        </w:rPr>
        <w:t xml:space="preserve"> in the amount not exceeding 2%</w:t>
      </w:r>
      <w:r w:rsidRPr="79E03DEC">
        <w:rPr>
          <w:rFonts w:asciiTheme="majorHAnsi" w:hAnsiTheme="majorHAnsi" w:cstheme="majorBidi"/>
          <w:sz w:val="22"/>
          <w:szCs w:val="22"/>
          <w:lang w:bidi="en-GB"/>
        </w:rPr>
        <w:t>.</w:t>
      </w:r>
    </w:p>
    <w:p w14:paraId="49F3CD89" w14:textId="77777777" w:rsidR="00BF3C71" w:rsidRPr="00170DCB" w:rsidRDefault="00BF3C71" w:rsidP="00BF3C71">
      <w:pPr>
        <w:suppressAutoHyphens w:val="0"/>
        <w:autoSpaceDN/>
        <w:spacing w:before="120" w:after="0" w:line="240" w:lineRule="auto"/>
        <w:jc w:val="both"/>
        <w:textAlignment w:val="auto"/>
        <w:rPr>
          <w:rFonts w:asciiTheme="majorHAnsi" w:hAnsiTheme="majorHAnsi" w:cstheme="majorBidi"/>
          <w:b/>
          <w:bCs/>
        </w:rPr>
      </w:pPr>
      <w:r w:rsidRPr="79E03DEC">
        <w:rPr>
          <w:rFonts w:asciiTheme="majorHAnsi" w:hAnsiTheme="majorHAnsi" w:cstheme="majorBidi"/>
          <w:b/>
          <w:lang w:bidi="en-GB"/>
        </w:rPr>
        <w:t>For the purpose of calculating the loss and the share of income in revenue, the following is not taken into account:</w:t>
      </w:r>
    </w:p>
    <w:p w14:paraId="2920D044" w14:textId="77777777" w:rsidR="00BF3C71" w:rsidRPr="00963A58" w:rsidRDefault="00BF3C71">
      <w:pPr>
        <w:pStyle w:val="Akapitzlist"/>
        <w:numPr>
          <w:ilvl w:val="0"/>
          <w:numId w:val="13"/>
        </w:numPr>
        <w:spacing w:before="120"/>
        <w:jc w:val="both"/>
        <w:rPr>
          <w:rFonts w:asciiTheme="majorHAnsi" w:hAnsiTheme="majorHAnsi" w:cstheme="majorBidi"/>
        </w:rPr>
      </w:pPr>
      <w:r w:rsidRPr="79E03DEC">
        <w:rPr>
          <w:rFonts w:asciiTheme="majorHAnsi" w:hAnsiTheme="majorHAnsi" w:cstheme="majorBidi"/>
          <w:sz w:val="22"/>
          <w:szCs w:val="22"/>
          <w:lang w:bidi="en-GB"/>
        </w:rPr>
        <w:t>costs resulting from the acquisition, manufacture or improvement of fixed assets, charged in a tax year to the tax deductible costs, including through depreciation write-offs, or the use of fixed assets under a lease agreement, if, in accordance with the applicable provisions, the user makes the depreciation write-offs;</w:t>
      </w:r>
    </w:p>
    <w:p w14:paraId="6AE2882F" w14:textId="77777777" w:rsidR="00BF3C71" w:rsidRDefault="00BF3C71">
      <w:pPr>
        <w:pStyle w:val="Akapitzlist"/>
        <w:numPr>
          <w:ilvl w:val="0"/>
          <w:numId w:val="13"/>
        </w:numPr>
        <w:spacing w:before="120"/>
        <w:jc w:val="both"/>
        <w:rPr>
          <w:rFonts w:asciiTheme="majorHAnsi" w:eastAsiaTheme="majorEastAsia" w:hAnsiTheme="majorHAnsi" w:cstheme="majorBidi"/>
          <w:color w:val="000000" w:themeColor="text1"/>
          <w:sz w:val="22"/>
          <w:szCs w:val="22"/>
        </w:rPr>
      </w:pPr>
      <w:r w:rsidRPr="00963A58">
        <w:rPr>
          <w:rFonts w:asciiTheme="majorHAnsi" w:eastAsiaTheme="majorEastAsia" w:hAnsiTheme="majorHAnsi" w:cstheme="majorBidi"/>
          <w:color w:val="000000" w:themeColor="text1"/>
          <w:sz w:val="22"/>
          <w:szCs w:val="22"/>
          <w:lang w:bidi="en-GB"/>
        </w:rPr>
        <w:t>revenues and tax deductible costs directly or indirectly related to these revenues, appropriately achieved or incurred in connection with the transaction, if:</w:t>
      </w:r>
    </w:p>
    <w:p w14:paraId="0F8F57DB" w14:textId="77777777" w:rsidR="00BF3C71" w:rsidRPr="0057355D" w:rsidRDefault="00BF3C71">
      <w:pPr>
        <w:pStyle w:val="Akapitzlist"/>
        <w:numPr>
          <w:ilvl w:val="1"/>
          <w:numId w:val="13"/>
        </w:numPr>
        <w:spacing w:before="120"/>
        <w:jc w:val="both"/>
        <w:rPr>
          <w:rFonts w:asciiTheme="majorHAnsi" w:eastAsiaTheme="majorEastAsia" w:hAnsiTheme="majorHAnsi" w:cstheme="majorBidi"/>
          <w:color w:val="000000" w:themeColor="text1"/>
          <w:sz w:val="22"/>
          <w:szCs w:val="22"/>
        </w:rPr>
      </w:pPr>
      <w:r w:rsidRPr="0057355D">
        <w:rPr>
          <w:rFonts w:asciiTheme="majorHAnsi" w:eastAsiaTheme="majorEastAsia" w:hAnsiTheme="majorHAnsi" w:cstheme="majorBidi"/>
          <w:color w:val="000000" w:themeColor="text1"/>
          <w:sz w:val="22"/>
          <w:szCs w:val="22"/>
          <w:lang w:bidi="en-GB"/>
        </w:rPr>
        <w:t>the price or method of determining the price of the object of the transaction results from the provisions of acts or regulations issued thereunder, and</w:t>
      </w:r>
    </w:p>
    <w:p w14:paraId="092A2BE0" w14:textId="753101FA" w:rsidR="00BF3C71" w:rsidRPr="0057355D" w:rsidRDefault="00BF3C71">
      <w:pPr>
        <w:pStyle w:val="Akapitzlist"/>
        <w:numPr>
          <w:ilvl w:val="1"/>
          <w:numId w:val="13"/>
        </w:numPr>
        <w:spacing w:before="120"/>
        <w:jc w:val="both"/>
        <w:rPr>
          <w:rFonts w:asciiTheme="majorHAnsi" w:eastAsiaTheme="majorEastAsia" w:hAnsiTheme="majorHAnsi" w:cstheme="majorBidi"/>
          <w:color w:val="000000" w:themeColor="text1"/>
          <w:sz w:val="22"/>
          <w:szCs w:val="22"/>
        </w:rPr>
      </w:pPr>
      <w:r w:rsidRPr="0057355D">
        <w:rPr>
          <w:rFonts w:asciiTheme="majorHAnsi" w:eastAsiaTheme="majorEastAsia" w:hAnsiTheme="majorHAnsi" w:cstheme="majorBidi"/>
          <w:color w:val="000000" w:themeColor="text1"/>
          <w:sz w:val="22"/>
          <w:szCs w:val="22"/>
          <w:lang w:bidi="en-GB"/>
        </w:rPr>
        <w:t>the taxpayer in a tax year incurred a loss on the source of revenue other than from capital gains from the transaction referred to in point (a), or achieved the share of income from the source of revenue other than from capital gains in revenues other than from capital gains resulting from such a</w:t>
      </w:r>
      <w:r w:rsidR="00F1765C">
        <w:rPr>
          <w:rFonts w:asciiTheme="majorHAnsi" w:eastAsiaTheme="majorEastAsia" w:hAnsiTheme="majorHAnsi" w:cstheme="majorBidi"/>
          <w:color w:val="000000" w:themeColor="text1"/>
          <w:sz w:val="22"/>
          <w:szCs w:val="22"/>
          <w:lang w:bidi="en-GB"/>
        </w:rPr>
        <w:t> </w:t>
      </w:r>
      <w:r w:rsidRPr="0057355D">
        <w:rPr>
          <w:rFonts w:asciiTheme="majorHAnsi" w:eastAsiaTheme="majorEastAsia" w:hAnsiTheme="majorHAnsi" w:cstheme="majorBidi"/>
          <w:color w:val="000000" w:themeColor="text1"/>
          <w:sz w:val="22"/>
          <w:szCs w:val="22"/>
          <w:lang w:bidi="en-GB"/>
        </w:rPr>
        <w:t>transaction in the amount of not more than 2%, where the calculation of the loss and share of income in revenue is made separately for transactions of the same type;</w:t>
      </w:r>
    </w:p>
    <w:p w14:paraId="31E1F682" w14:textId="77777777" w:rsidR="00BF3C71" w:rsidRPr="00963A58" w:rsidRDefault="00BF3C71">
      <w:pPr>
        <w:pStyle w:val="Akapitzlist"/>
        <w:numPr>
          <w:ilvl w:val="0"/>
          <w:numId w:val="13"/>
        </w:numPr>
        <w:spacing w:before="120"/>
        <w:jc w:val="both"/>
        <w:rPr>
          <w:rFonts w:asciiTheme="majorHAnsi" w:hAnsiTheme="majorHAnsi" w:cstheme="majorBidi"/>
          <w:sz w:val="22"/>
          <w:szCs w:val="22"/>
        </w:rPr>
      </w:pPr>
      <w:r w:rsidRPr="79E03DEC">
        <w:rPr>
          <w:rFonts w:asciiTheme="majorHAnsi" w:hAnsiTheme="majorHAnsi" w:cstheme="majorBidi"/>
          <w:sz w:val="22"/>
          <w:szCs w:val="22"/>
          <w:lang w:bidi="en-GB"/>
        </w:rPr>
        <w:t>fees on account of the fixed assets lease agreement, recognised as tax deductible costs during the tax year;</w:t>
      </w:r>
    </w:p>
    <w:p w14:paraId="44BAB3AA" w14:textId="77777777" w:rsidR="00BF3C71" w:rsidRPr="00963A58" w:rsidRDefault="00BF3C71">
      <w:pPr>
        <w:pStyle w:val="Akapitzlist"/>
        <w:numPr>
          <w:ilvl w:val="0"/>
          <w:numId w:val="13"/>
        </w:numPr>
        <w:spacing w:before="120"/>
        <w:jc w:val="both"/>
        <w:rPr>
          <w:rFonts w:asciiTheme="majorHAnsi" w:hAnsiTheme="majorHAnsi" w:cstheme="majorBidi"/>
          <w:sz w:val="22"/>
          <w:szCs w:val="22"/>
        </w:rPr>
      </w:pPr>
      <w:r w:rsidRPr="79E03DEC">
        <w:rPr>
          <w:rFonts w:asciiTheme="majorHAnsi" w:hAnsiTheme="majorHAnsi" w:cstheme="majorBidi"/>
          <w:sz w:val="22"/>
          <w:szCs w:val="22"/>
          <w:lang w:bidi="en-GB"/>
        </w:rPr>
        <w:t>revenues and tax deductible costs directly related to these revenues from the sale of claims to entities from the factoring sector;</w:t>
      </w:r>
    </w:p>
    <w:p w14:paraId="498B63D0" w14:textId="77777777" w:rsidR="00BF3C71" w:rsidRPr="00963A58" w:rsidRDefault="00BF3C71">
      <w:pPr>
        <w:pStyle w:val="Akapitzlist"/>
        <w:numPr>
          <w:ilvl w:val="0"/>
          <w:numId w:val="13"/>
        </w:numPr>
        <w:spacing w:before="120"/>
        <w:jc w:val="both"/>
        <w:rPr>
          <w:rFonts w:asciiTheme="majorHAnsi" w:hAnsiTheme="majorHAnsi" w:cstheme="majorBidi"/>
          <w:sz w:val="22"/>
          <w:szCs w:val="22"/>
        </w:rPr>
      </w:pPr>
      <w:r w:rsidRPr="79E03DEC">
        <w:rPr>
          <w:rFonts w:asciiTheme="majorHAnsi" w:hAnsiTheme="majorHAnsi" w:cstheme="majorBidi"/>
          <w:sz w:val="22"/>
          <w:szCs w:val="22"/>
          <w:lang w:bidi="en-GB"/>
        </w:rPr>
        <w:t>increase in tax deductible costs on account of the purchase of electricity, heat or conductivity gas, constituting a positive difference between the tax deductible costs incurred in this respect in a tax year for which the minimum income tax is due and the tax deductible costs incurred in this respect in a tax year directly preceding that year;</w:t>
      </w:r>
    </w:p>
    <w:p w14:paraId="0381015A" w14:textId="77777777" w:rsidR="00BF3C71" w:rsidRPr="00963A58" w:rsidRDefault="00BF3C71">
      <w:pPr>
        <w:pStyle w:val="Akapitzlist"/>
        <w:numPr>
          <w:ilvl w:val="0"/>
          <w:numId w:val="13"/>
        </w:numPr>
        <w:spacing w:before="120"/>
        <w:jc w:val="both"/>
        <w:rPr>
          <w:rFonts w:asciiTheme="majorHAnsi" w:hAnsiTheme="majorHAnsi" w:cstheme="majorBidi"/>
          <w:sz w:val="22"/>
          <w:szCs w:val="22"/>
        </w:rPr>
      </w:pPr>
      <w:r w:rsidRPr="79E03DEC">
        <w:rPr>
          <w:rFonts w:asciiTheme="majorHAnsi" w:hAnsiTheme="majorHAnsi" w:cstheme="majorBidi"/>
          <w:sz w:val="22"/>
          <w:szCs w:val="22"/>
          <w:lang w:bidi="en-GB"/>
        </w:rPr>
        <w:t>the amount of excise duty, tax on retail sale, tax on gambling, fuel surcharge, emission fee paid by the entity obliged to do so;</w:t>
      </w:r>
    </w:p>
    <w:p w14:paraId="071D848F" w14:textId="77777777" w:rsidR="00BF3C71" w:rsidRPr="00963A58" w:rsidRDefault="00BF3C71">
      <w:pPr>
        <w:pStyle w:val="Akapitzlist"/>
        <w:numPr>
          <w:ilvl w:val="0"/>
          <w:numId w:val="13"/>
        </w:numPr>
        <w:spacing w:before="120"/>
        <w:jc w:val="both"/>
        <w:rPr>
          <w:rFonts w:asciiTheme="majorHAnsi" w:hAnsiTheme="majorHAnsi" w:cstheme="majorBidi"/>
          <w:sz w:val="22"/>
          <w:szCs w:val="22"/>
        </w:rPr>
      </w:pPr>
      <w:r w:rsidRPr="79E03DEC">
        <w:rPr>
          <w:rFonts w:asciiTheme="majorHAnsi" w:hAnsiTheme="majorHAnsi" w:cstheme="majorBidi"/>
          <w:sz w:val="22"/>
          <w:szCs w:val="22"/>
          <w:lang w:bidi="en-GB"/>
        </w:rPr>
        <w:t>the amount of excise duty included in the price of excise products purchased and sold by the taxpayer trading in those products recognised as revenue or tax deductible costs, as appropriate;</w:t>
      </w:r>
    </w:p>
    <w:p w14:paraId="12731188" w14:textId="565F35D0" w:rsidR="00BF3C71" w:rsidRDefault="00BF3C71">
      <w:pPr>
        <w:pStyle w:val="Akapitzlist"/>
        <w:numPr>
          <w:ilvl w:val="0"/>
          <w:numId w:val="13"/>
        </w:numPr>
        <w:spacing w:before="120"/>
        <w:jc w:val="both"/>
        <w:rPr>
          <w:rFonts w:asciiTheme="majorHAnsi" w:hAnsiTheme="majorHAnsi" w:cstheme="majorBidi"/>
          <w:sz w:val="22"/>
          <w:szCs w:val="22"/>
        </w:rPr>
      </w:pPr>
      <w:r w:rsidRPr="79E03DEC">
        <w:rPr>
          <w:rFonts w:asciiTheme="majorHAnsi" w:hAnsiTheme="majorHAnsi" w:cstheme="majorBidi"/>
          <w:sz w:val="22"/>
          <w:szCs w:val="22"/>
          <w:lang w:bidi="en-GB"/>
        </w:rPr>
        <w:t>20% of tax deductible costs related to salaries and social security contributions from the employer.</w:t>
      </w:r>
    </w:p>
    <w:p w14:paraId="0D9994D2" w14:textId="77777777" w:rsidR="00CA4FE8" w:rsidRPr="00170DCB" w:rsidRDefault="00CA4FE8" w:rsidP="00CA4FE8">
      <w:pPr>
        <w:suppressAutoHyphens w:val="0"/>
        <w:autoSpaceDN/>
        <w:spacing w:before="120" w:after="0" w:line="240" w:lineRule="auto"/>
        <w:jc w:val="both"/>
        <w:textAlignment w:val="auto"/>
        <w:rPr>
          <w:rFonts w:asciiTheme="majorHAnsi" w:hAnsiTheme="majorHAnsi" w:cstheme="majorHAnsi"/>
        </w:rPr>
      </w:pPr>
      <w:r w:rsidRPr="00CA4FE8">
        <w:rPr>
          <w:rFonts w:asciiTheme="majorHAnsi" w:hAnsiTheme="majorHAnsi" w:cstheme="majorHAnsi"/>
          <w:b/>
          <w:lang w:bidi="en-GB"/>
        </w:rPr>
        <w:t>The MIT base</w:t>
      </w:r>
      <w:r w:rsidRPr="00CA4FE8">
        <w:rPr>
          <w:rFonts w:asciiTheme="majorHAnsi" w:hAnsiTheme="majorHAnsi" w:cstheme="majorHAnsi"/>
          <w:lang w:bidi="en-GB"/>
        </w:rPr>
        <w:t xml:space="preserve"> is the sum of:</w:t>
      </w:r>
    </w:p>
    <w:p w14:paraId="57EEEB6C" w14:textId="77777777" w:rsidR="00CA4FE8" w:rsidRPr="00170DCB" w:rsidRDefault="00CA4FE8" w:rsidP="00CA4FE8">
      <w:pPr>
        <w:pStyle w:val="Akapitzlist"/>
        <w:numPr>
          <w:ilvl w:val="0"/>
          <w:numId w:val="5"/>
        </w:numPr>
        <w:jc w:val="both"/>
        <w:rPr>
          <w:rFonts w:asciiTheme="majorHAnsi" w:hAnsiTheme="majorHAnsi" w:cstheme="majorBidi"/>
          <w:sz w:val="22"/>
          <w:szCs w:val="22"/>
        </w:rPr>
      </w:pPr>
      <w:r w:rsidRPr="79E03DEC">
        <w:rPr>
          <w:rFonts w:asciiTheme="majorHAnsi" w:hAnsiTheme="majorHAnsi" w:cstheme="majorBidi"/>
          <w:b/>
          <w:sz w:val="22"/>
          <w:szCs w:val="22"/>
          <w:lang w:bidi="en-GB"/>
        </w:rPr>
        <w:t>the amount corresponding to 1.5% of the revenue</w:t>
      </w:r>
      <w:r w:rsidRPr="79E03DEC">
        <w:rPr>
          <w:rFonts w:asciiTheme="majorHAnsi" w:hAnsiTheme="majorHAnsi" w:cstheme="majorBidi"/>
          <w:sz w:val="22"/>
          <w:szCs w:val="22"/>
          <w:lang w:bidi="en-GB"/>
        </w:rPr>
        <w:t xml:space="preserve"> from the source of revenue other than capital gains earned by the taxpayer in a tax year and</w:t>
      </w:r>
    </w:p>
    <w:p w14:paraId="03CA6262" w14:textId="77777777" w:rsidR="00CA4FE8" w:rsidRPr="00E24ACF" w:rsidRDefault="00CA4FE8" w:rsidP="00CA4FE8">
      <w:pPr>
        <w:pStyle w:val="Akapitzlist"/>
        <w:numPr>
          <w:ilvl w:val="0"/>
          <w:numId w:val="5"/>
        </w:numPr>
        <w:jc w:val="both"/>
        <w:rPr>
          <w:rFonts w:asciiTheme="majorHAnsi" w:hAnsiTheme="majorHAnsi" w:cstheme="majorBidi"/>
          <w:b/>
          <w:sz w:val="22"/>
          <w:szCs w:val="22"/>
        </w:rPr>
      </w:pPr>
      <w:r w:rsidRPr="79E03DEC">
        <w:rPr>
          <w:rFonts w:asciiTheme="majorHAnsi" w:hAnsiTheme="majorHAnsi" w:cstheme="majorBidi"/>
          <w:b/>
          <w:sz w:val="22"/>
          <w:szCs w:val="22"/>
          <w:lang w:bidi="en-GB"/>
        </w:rPr>
        <w:t xml:space="preserve">financing costs incurred for the benefit of related entities in the part in which these costs exceed the amount calculated according to the following formula [(R – IR) – (C – DWO – CDF)] × 30%, </w:t>
      </w:r>
      <w:r w:rsidRPr="79E03DEC">
        <w:rPr>
          <w:rFonts w:asciiTheme="majorHAnsi" w:hAnsiTheme="majorHAnsi" w:cstheme="majorBidi"/>
          <w:sz w:val="22"/>
          <w:szCs w:val="22"/>
          <w:lang w:bidi="en-GB"/>
        </w:rPr>
        <w:t>and</w:t>
      </w:r>
    </w:p>
    <w:p w14:paraId="4DD3F6E9" w14:textId="77777777" w:rsidR="00F1765C" w:rsidRDefault="00CA4FE8" w:rsidP="00CA4FE8">
      <w:pPr>
        <w:pStyle w:val="Akapitzlist"/>
        <w:numPr>
          <w:ilvl w:val="0"/>
          <w:numId w:val="5"/>
        </w:numPr>
        <w:jc w:val="both"/>
        <w:rPr>
          <w:rFonts w:asciiTheme="majorHAnsi" w:hAnsiTheme="majorHAnsi" w:cstheme="majorBidi"/>
          <w:sz w:val="22"/>
          <w:szCs w:val="22"/>
          <w:lang w:bidi="en-GB"/>
        </w:rPr>
      </w:pPr>
      <w:r w:rsidRPr="79E03DEC">
        <w:rPr>
          <w:rFonts w:asciiTheme="majorHAnsi" w:hAnsiTheme="majorHAnsi" w:cstheme="majorBidi"/>
          <w:sz w:val="22"/>
          <w:szCs w:val="22"/>
          <w:lang w:bidi="en-GB"/>
        </w:rPr>
        <w:t>costs (</w:t>
      </w:r>
      <w:r w:rsidRPr="79E03DEC">
        <w:rPr>
          <w:rFonts w:asciiTheme="majorHAnsi" w:hAnsiTheme="majorHAnsi" w:cstheme="majorBidi"/>
          <w:b/>
          <w:sz w:val="22"/>
          <w:szCs w:val="22"/>
          <w:lang w:bidi="en-GB"/>
        </w:rPr>
        <w:t>the so-called redundancy passive payments</w:t>
      </w:r>
      <w:r w:rsidRPr="79E03DEC">
        <w:rPr>
          <w:rFonts w:asciiTheme="majorHAnsi" w:hAnsiTheme="majorHAnsi" w:cstheme="majorBidi"/>
          <w:sz w:val="22"/>
          <w:szCs w:val="22"/>
          <w:lang w:bidi="en-GB"/>
        </w:rPr>
        <w:t>):</w:t>
      </w:r>
    </w:p>
    <w:p w14:paraId="06DBDB1B" w14:textId="7A0C8840" w:rsidR="00CA4FE8" w:rsidRPr="00170DCB" w:rsidRDefault="00CA4FE8" w:rsidP="00CA4FE8">
      <w:pPr>
        <w:pStyle w:val="Akapitzlist"/>
        <w:numPr>
          <w:ilvl w:val="1"/>
          <w:numId w:val="5"/>
        </w:numPr>
        <w:jc w:val="both"/>
        <w:rPr>
          <w:rFonts w:asciiTheme="majorHAnsi" w:hAnsiTheme="majorHAnsi" w:cstheme="majorHAnsi"/>
          <w:sz w:val="22"/>
          <w:szCs w:val="22"/>
        </w:rPr>
      </w:pPr>
      <w:r w:rsidRPr="00170DCB">
        <w:rPr>
          <w:rFonts w:asciiTheme="majorHAnsi" w:hAnsiTheme="majorHAnsi" w:cstheme="majorHAnsi"/>
          <w:sz w:val="22"/>
          <w:szCs w:val="22"/>
          <w:lang w:bidi="en-GB"/>
        </w:rPr>
        <w:t>advisory, market research, advertising, management, control and data processing services, insurance, guarantees and sureties as well as services of a similar nature,</w:t>
      </w:r>
    </w:p>
    <w:p w14:paraId="3B714C90" w14:textId="77777777" w:rsidR="00CA4FE8" w:rsidRPr="00170DCB" w:rsidRDefault="00CA4FE8" w:rsidP="00CA4FE8">
      <w:pPr>
        <w:pStyle w:val="Akapitzlist"/>
        <w:numPr>
          <w:ilvl w:val="1"/>
          <w:numId w:val="5"/>
        </w:numPr>
        <w:jc w:val="both"/>
        <w:rPr>
          <w:rFonts w:asciiTheme="majorHAnsi" w:hAnsiTheme="majorHAnsi" w:cstheme="majorHAnsi"/>
          <w:sz w:val="22"/>
          <w:szCs w:val="22"/>
        </w:rPr>
      </w:pPr>
      <w:r w:rsidRPr="00170DCB">
        <w:rPr>
          <w:rFonts w:asciiTheme="majorHAnsi" w:hAnsiTheme="majorHAnsi" w:cstheme="majorHAnsi"/>
          <w:sz w:val="22"/>
          <w:szCs w:val="22"/>
          <w:lang w:bidi="en-GB"/>
        </w:rPr>
        <w:t>any types of charges and receivables for using or the right to use rights or assets referred to in Article 16b(1)(4-7) (copyrights, licences, etc.),</w:t>
      </w:r>
    </w:p>
    <w:p w14:paraId="0492FB2B" w14:textId="77777777" w:rsidR="00CA4FE8" w:rsidRPr="00170DCB" w:rsidRDefault="00CA4FE8" w:rsidP="00CA4FE8">
      <w:pPr>
        <w:pStyle w:val="Akapitzlist"/>
        <w:numPr>
          <w:ilvl w:val="1"/>
          <w:numId w:val="5"/>
        </w:numPr>
        <w:jc w:val="both"/>
        <w:rPr>
          <w:rFonts w:asciiTheme="majorHAnsi" w:hAnsiTheme="majorHAnsi" w:cstheme="majorHAnsi"/>
          <w:sz w:val="22"/>
          <w:szCs w:val="22"/>
        </w:rPr>
      </w:pPr>
      <w:r w:rsidRPr="00170DCB">
        <w:rPr>
          <w:rFonts w:asciiTheme="majorHAnsi" w:hAnsiTheme="majorHAnsi" w:cstheme="majorHAnsi"/>
          <w:sz w:val="22"/>
          <w:szCs w:val="22"/>
          <w:lang w:bidi="en-GB"/>
        </w:rPr>
        <w:t>transfer of the debtor’s insolvency risk related to loans other than loans granted by banks and credit unions, including within liabilities resulting from derivative financial instruments and performances of a similar nature</w:t>
      </w:r>
    </w:p>
    <w:p w14:paraId="15BA65B5" w14:textId="77777777" w:rsidR="00CA4FE8" w:rsidRPr="00170DCB" w:rsidRDefault="00CA4FE8" w:rsidP="00CA4FE8">
      <w:pPr>
        <w:pStyle w:val="Akapitzlist"/>
        <w:jc w:val="both"/>
        <w:rPr>
          <w:rFonts w:asciiTheme="majorHAnsi" w:hAnsiTheme="majorHAnsi" w:cstheme="majorHAnsi"/>
          <w:sz w:val="22"/>
          <w:szCs w:val="22"/>
        </w:rPr>
      </w:pPr>
      <w:r w:rsidRPr="00170DCB">
        <w:rPr>
          <w:rFonts w:asciiTheme="majorHAnsi" w:hAnsiTheme="majorHAnsi" w:cstheme="majorHAnsi"/>
          <w:sz w:val="22"/>
          <w:szCs w:val="22"/>
          <w:lang w:bidi="en-GB"/>
        </w:rPr>
        <w:lastRenderedPageBreak/>
        <w:t xml:space="preserve">– incurred directly or indirectly for the benefit of related entities or entities having their registered office or management board in the so-called tax havens, </w:t>
      </w:r>
      <w:r w:rsidRPr="00170DCB">
        <w:rPr>
          <w:rFonts w:asciiTheme="majorHAnsi" w:hAnsiTheme="majorHAnsi" w:cstheme="majorHAnsi"/>
          <w:b/>
          <w:sz w:val="22"/>
          <w:szCs w:val="22"/>
          <w:lang w:bidi="en-GB"/>
        </w:rPr>
        <w:t>in the part in which these costs in total in a tax year exceed by PLN 3,000,000 the amount calculated according to the following formula [(R – IR) – (C – DWO – I)] x 5%</w:t>
      </w:r>
      <w:r w:rsidRPr="00170DCB">
        <w:rPr>
          <w:rFonts w:asciiTheme="majorHAnsi" w:hAnsiTheme="majorHAnsi" w:cstheme="majorHAnsi"/>
          <w:sz w:val="22"/>
          <w:szCs w:val="22"/>
          <w:lang w:bidi="en-GB"/>
        </w:rPr>
        <w:t>.</w:t>
      </w:r>
    </w:p>
    <w:p w14:paraId="2ADC965D" w14:textId="77777777" w:rsidR="00CA4FE8" w:rsidRPr="00170DCB" w:rsidRDefault="00CA4FE8" w:rsidP="00CA4FE8">
      <w:pPr>
        <w:suppressAutoHyphens w:val="0"/>
        <w:autoSpaceDN/>
        <w:spacing w:after="0" w:line="240" w:lineRule="auto"/>
        <w:jc w:val="both"/>
        <w:textAlignment w:val="auto"/>
        <w:rPr>
          <w:rFonts w:asciiTheme="majorHAnsi" w:hAnsiTheme="majorHAnsi" w:cstheme="majorHAnsi"/>
        </w:rPr>
      </w:pPr>
      <w:r w:rsidRPr="00170DCB">
        <w:rPr>
          <w:rFonts w:asciiTheme="majorHAnsi" w:hAnsiTheme="majorHAnsi" w:cstheme="majorHAnsi"/>
          <w:lang w:bidi="en-GB"/>
        </w:rPr>
        <w:br/>
        <w:t>Explanations of symbols used in the above formulae:</w:t>
      </w:r>
    </w:p>
    <w:p w14:paraId="6B813DCE" w14:textId="77777777" w:rsidR="00CA4FE8" w:rsidRPr="00170DCB" w:rsidRDefault="00CA4FE8" w:rsidP="00CA4FE8">
      <w:pPr>
        <w:spacing w:after="0" w:line="240" w:lineRule="auto"/>
        <w:jc w:val="both"/>
        <w:rPr>
          <w:rFonts w:asciiTheme="majorHAnsi" w:hAnsiTheme="majorHAnsi" w:cstheme="majorHAnsi"/>
        </w:rPr>
      </w:pPr>
      <w:r w:rsidRPr="00170DCB">
        <w:rPr>
          <w:rFonts w:asciiTheme="majorHAnsi" w:hAnsiTheme="majorHAnsi" w:cstheme="majorHAnsi"/>
          <w:lang w:bidi="en-GB"/>
        </w:rPr>
        <w:t>R – the total value of revenue from all sources of revenue from which income is subject to income tax,</w:t>
      </w:r>
    </w:p>
    <w:p w14:paraId="582D07BD" w14:textId="77777777" w:rsidR="00CA4FE8" w:rsidRPr="00170DCB" w:rsidRDefault="00CA4FE8" w:rsidP="00CA4FE8">
      <w:pPr>
        <w:spacing w:after="0" w:line="240" w:lineRule="auto"/>
        <w:jc w:val="both"/>
        <w:rPr>
          <w:rFonts w:asciiTheme="majorHAnsi" w:hAnsiTheme="majorHAnsi" w:cstheme="majorHAnsi"/>
        </w:rPr>
      </w:pPr>
      <w:r w:rsidRPr="00170DCB">
        <w:rPr>
          <w:rFonts w:asciiTheme="majorHAnsi" w:hAnsiTheme="majorHAnsi" w:cstheme="majorHAnsi"/>
          <w:lang w:bidi="en-GB"/>
        </w:rPr>
        <w:t>IR – interest revenue,</w:t>
      </w:r>
    </w:p>
    <w:p w14:paraId="528EB9E5" w14:textId="77777777" w:rsidR="00CA4FE8" w:rsidRPr="00170DCB" w:rsidRDefault="00CA4FE8" w:rsidP="00CA4FE8">
      <w:pPr>
        <w:spacing w:after="0" w:line="240" w:lineRule="auto"/>
        <w:jc w:val="both"/>
        <w:rPr>
          <w:rFonts w:asciiTheme="majorHAnsi" w:hAnsiTheme="majorHAnsi" w:cstheme="majorHAnsi"/>
        </w:rPr>
      </w:pPr>
      <w:r w:rsidRPr="00170DCB">
        <w:rPr>
          <w:rFonts w:asciiTheme="majorHAnsi" w:hAnsiTheme="majorHAnsi" w:cstheme="majorHAnsi"/>
          <w:lang w:bidi="en-GB"/>
        </w:rPr>
        <w:t>C – total tax deductible costs without deductions resulting from Article 15c(1) of the CIT Act (interest limit)</w:t>
      </w:r>
    </w:p>
    <w:p w14:paraId="487E7709" w14:textId="77777777" w:rsidR="00CA4FE8" w:rsidRPr="00170DCB" w:rsidRDefault="00CA4FE8" w:rsidP="00CA4FE8">
      <w:pPr>
        <w:spacing w:after="0" w:line="240" w:lineRule="auto"/>
        <w:jc w:val="both"/>
        <w:rPr>
          <w:rFonts w:asciiTheme="majorHAnsi" w:hAnsiTheme="majorHAnsi" w:cstheme="majorHAnsi"/>
        </w:rPr>
      </w:pPr>
      <w:r w:rsidRPr="00170DCB">
        <w:rPr>
          <w:rFonts w:asciiTheme="majorHAnsi" w:hAnsiTheme="majorHAnsi" w:cstheme="majorHAnsi"/>
          <w:lang w:bidi="en-GB"/>
        </w:rPr>
        <w:t>DWO – depreciation write-offs recognised in a tax year as tax deductible costs,</w:t>
      </w:r>
    </w:p>
    <w:p w14:paraId="36A95CE0" w14:textId="77777777" w:rsidR="00CA4FE8" w:rsidRPr="00170DCB" w:rsidRDefault="00CA4FE8" w:rsidP="00CA4FE8">
      <w:pPr>
        <w:spacing w:after="0" w:line="240" w:lineRule="auto"/>
        <w:jc w:val="both"/>
        <w:rPr>
          <w:rFonts w:asciiTheme="majorHAnsi" w:hAnsiTheme="majorHAnsi" w:cstheme="majorHAnsi"/>
        </w:rPr>
      </w:pPr>
      <w:r w:rsidRPr="00170DCB">
        <w:rPr>
          <w:rFonts w:asciiTheme="majorHAnsi" w:hAnsiTheme="majorHAnsi" w:cstheme="majorHAnsi"/>
          <w:lang w:bidi="en-GB"/>
        </w:rPr>
        <w:t>CDF – costs of debt financing recognised in a tax year as tax deductible costs, not included in the initial value of fixed assets and intangible assets, before making deductions resulting from Article 15c(1) (interest limit)</w:t>
      </w:r>
    </w:p>
    <w:p w14:paraId="63744EFE" w14:textId="37EBD6D6" w:rsidR="00BF3C71" w:rsidRDefault="00CA4FE8" w:rsidP="00CA4FE8">
      <w:pPr>
        <w:spacing w:after="0" w:line="240" w:lineRule="auto"/>
        <w:jc w:val="both"/>
        <w:rPr>
          <w:rFonts w:asciiTheme="majorHAnsi" w:hAnsiTheme="majorHAnsi" w:cstheme="majorBidi"/>
        </w:rPr>
      </w:pPr>
      <w:r w:rsidRPr="79E03DEC">
        <w:rPr>
          <w:rFonts w:asciiTheme="majorHAnsi" w:hAnsiTheme="majorHAnsi" w:cstheme="majorBidi"/>
          <w:lang w:bidi="en-GB"/>
        </w:rPr>
        <w:t>I – interest recognised in a tax year as tax deductible costs, without deductions resulting from Article 15c(1) (interest limit)</w:t>
      </w:r>
    </w:p>
    <w:p w14:paraId="6D9DB2A5" w14:textId="77777777" w:rsidR="00CA4FE8" w:rsidRPr="00CA4FE8" w:rsidRDefault="00CA4FE8" w:rsidP="00CA4FE8">
      <w:pPr>
        <w:spacing w:after="0" w:line="240" w:lineRule="auto"/>
        <w:jc w:val="both"/>
        <w:rPr>
          <w:rFonts w:asciiTheme="majorHAnsi" w:hAnsiTheme="majorHAnsi" w:cstheme="majorBidi"/>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BF3C71" w:rsidRPr="00170DCB" w14:paraId="2DC96D57" w14:textId="77777777">
        <w:tc>
          <w:tcPr>
            <w:tcW w:w="10211" w:type="dxa"/>
            <w:shd w:val="clear" w:color="auto" w:fill="444854"/>
          </w:tcPr>
          <w:p w14:paraId="35147B4A" w14:textId="77777777" w:rsidR="00F1765C" w:rsidRDefault="00BF3C71" w:rsidP="00DF137C">
            <w:pPr>
              <w:suppressAutoHyphens w:val="0"/>
              <w:autoSpaceDN/>
              <w:spacing w:before="120" w:after="120" w:line="240" w:lineRule="auto"/>
              <w:jc w:val="both"/>
              <w:textAlignment w:val="auto"/>
              <w:rPr>
                <w:rFonts w:asciiTheme="majorHAnsi" w:hAnsiTheme="majorHAnsi" w:cstheme="majorBidi"/>
                <w:b/>
                <w:color w:val="EFC812"/>
                <w:lang w:bidi="en-GB"/>
              </w:rPr>
            </w:pPr>
            <w:r w:rsidRPr="79E03DEC">
              <w:rPr>
                <w:rFonts w:asciiTheme="majorHAnsi" w:hAnsiTheme="majorHAnsi" w:cstheme="majorBidi"/>
                <w:color w:val="EFC812"/>
                <w:lang w:bidi="en-GB"/>
              </w:rPr>
              <w:t xml:space="preserve">The minimum income tax is </w:t>
            </w:r>
            <w:r w:rsidRPr="79E03DEC">
              <w:rPr>
                <w:rFonts w:asciiTheme="majorHAnsi" w:hAnsiTheme="majorHAnsi" w:cstheme="majorBidi"/>
                <w:b/>
                <w:color w:val="EFC812"/>
                <w:lang w:bidi="en-GB"/>
              </w:rPr>
              <w:t>10% of the MIT tax base.</w:t>
            </w:r>
          </w:p>
          <w:p w14:paraId="34808430" w14:textId="57B425A1" w:rsidR="00BF3C71" w:rsidRPr="00170DCB" w:rsidRDefault="00BF3C71" w:rsidP="00DF137C">
            <w:pPr>
              <w:suppressAutoHyphens w:val="0"/>
              <w:autoSpaceDN/>
              <w:spacing w:before="120" w:after="120" w:line="240" w:lineRule="auto"/>
              <w:jc w:val="both"/>
              <w:textAlignment w:val="auto"/>
              <w:rPr>
                <w:rFonts w:asciiTheme="majorHAnsi" w:hAnsiTheme="majorHAnsi" w:cstheme="majorHAnsi"/>
                <w:i/>
                <w:iCs/>
                <w:color w:val="EFC812"/>
                <w:u w:val="single"/>
              </w:rPr>
            </w:pPr>
            <w:r w:rsidRPr="00170DCB">
              <w:rPr>
                <w:rFonts w:asciiTheme="majorHAnsi" w:hAnsiTheme="majorHAnsi" w:cstheme="majorHAnsi"/>
                <w:i/>
                <w:color w:val="EFC812"/>
                <w:u w:val="single"/>
                <w:lang w:bidi="en-GB"/>
              </w:rPr>
              <w:t>Example</w:t>
            </w:r>
          </w:p>
          <w:p w14:paraId="0E5BF08B" w14:textId="77777777" w:rsidR="00F1765C" w:rsidRDefault="00BF3C71" w:rsidP="00DF137C">
            <w:pPr>
              <w:suppressAutoHyphens w:val="0"/>
              <w:autoSpaceDN/>
              <w:spacing w:before="120" w:after="120" w:line="240" w:lineRule="auto"/>
              <w:jc w:val="both"/>
              <w:textAlignment w:val="auto"/>
              <w:rPr>
                <w:rFonts w:asciiTheme="majorHAnsi" w:hAnsiTheme="majorHAnsi" w:cstheme="majorHAnsi"/>
                <w:i/>
                <w:color w:val="EFC812"/>
                <w:lang w:bidi="en-GB"/>
              </w:rPr>
            </w:pPr>
            <w:r w:rsidRPr="00170DCB">
              <w:rPr>
                <w:rFonts w:asciiTheme="majorHAnsi" w:hAnsiTheme="majorHAnsi" w:cstheme="majorHAnsi"/>
                <w:i/>
                <w:color w:val="EFC812"/>
                <w:lang w:bidi="en-GB"/>
              </w:rPr>
              <w:t>Company X generates revenue in the amount of PLN 100,000,000 in 2024. After excluding the depreciation, the company’s income amounts to PLN 500,000, i.e. less than 2% of revenue. Therefore company X is subject to the minimum tax.</w:t>
            </w:r>
          </w:p>
          <w:p w14:paraId="7DF34D6A" w14:textId="6DCA8BA3" w:rsidR="00BF3C71" w:rsidRPr="00170DCB" w:rsidRDefault="00BF3C71" w:rsidP="00DF137C">
            <w:pPr>
              <w:suppressAutoHyphens w:val="0"/>
              <w:autoSpaceDN/>
              <w:spacing w:before="120" w:after="120" w:line="240" w:lineRule="auto"/>
              <w:jc w:val="both"/>
              <w:textAlignment w:val="auto"/>
              <w:rPr>
                <w:rFonts w:asciiTheme="majorHAnsi" w:hAnsiTheme="majorHAnsi" w:cstheme="majorHAnsi"/>
                <w:i/>
                <w:iCs/>
                <w:color w:val="EFC812"/>
              </w:rPr>
            </w:pPr>
            <w:r w:rsidRPr="00170DCB">
              <w:rPr>
                <w:rFonts w:asciiTheme="majorHAnsi" w:hAnsiTheme="majorHAnsi" w:cstheme="majorHAnsi"/>
                <w:i/>
                <w:color w:val="EFC812"/>
                <w:lang w:bidi="en-GB"/>
              </w:rPr>
              <w:t>The tax base is 1.5% of the revenue, i.e. PLN 1,500,000 (we assume that there were no excessive funding costs or redundancy passive payments).</w:t>
            </w:r>
          </w:p>
          <w:p w14:paraId="2587AB9E" w14:textId="77777777" w:rsidR="00F1765C" w:rsidRDefault="00BF3C71" w:rsidP="00DF137C">
            <w:pPr>
              <w:suppressAutoHyphens w:val="0"/>
              <w:autoSpaceDN/>
              <w:spacing w:before="120" w:after="120" w:line="240" w:lineRule="auto"/>
              <w:jc w:val="both"/>
              <w:textAlignment w:val="auto"/>
              <w:rPr>
                <w:rFonts w:asciiTheme="majorHAnsi" w:hAnsiTheme="majorHAnsi" w:cstheme="majorHAnsi"/>
                <w:i/>
                <w:color w:val="EFC812"/>
                <w:lang w:bidi="en-GB"/>
              </w:rPr>
            </w:pPr>
            <w:r w:rsidRPr="00170DCB">
              <w:rPr>
                <w:rFonts w:asciiTheme="majorHAnsi" w:hAnsiTheme="majorHAnsi" w:cstheme="majorHAnsi"/>
                <w:i/>
                <w:color w:val="EFC812"/>
                <w:lang w:bidi="en-GB"/>
              </w:rPr>
              <w:t>The minimum tax is 10% x PLN 1,500,000 = PLN 150,000</w:t>
            </w:r>
          </w:p>
          <w:p w14:paraId="335DBA86" w14:textId="7827AF94" w:rsidR="00BF3C71" w:rsidRPr="00170DCB" w:rsidRDefault="00BF3C71" w:rsidP="00DF137C">
            <w:pPr>
              <w:suppressAutoHyphens w:val="0"/>
              <w:autoSpaceDN/>
              <w:spacing w:before="120" w:after="120" w:line="240" w:lineRule="auto"/>
              <w:jc w:val="both"/>
              <w:textAlignment w:val="auto"/>
              <w:rPr>
                <w:rFonts w:asciiTheme="majorHAnsi" w:hAnsiTheme="majorHAnsi" w:cstheme="majorHAnsi"/>
                <w:b/>
                <w:bCs/>
                <w:i/>
                <w:iCs/>
                <w:color w:val="EFC812"/>
              </w:rPr>
            </w:pPr>
            <w:r w:rsidRPr="00170DCB">
              <w:rPr>
                <w:rFonts w:asciiTheme="majorHAnsi" w:hAnsiTheme="majorHAnsi" w:cstheme="majorHAnsi"/>
                <w:b/>
                <w:i/>
                <w:color w:val="EFC812"/>
                <w:lang w:bidi="en-GB"/>
              </w:rPr>
              <w:t>Thus, the effective MIT amounts to 0.15% of revenues.</w:t>
            </w:r>
          </w:p>
        </w:tc>
      </w:tr>
    </w:tbl>
    <w:p w14:paraId="1AD37BAF" w14:textId="77777777" w:rsidR="00BF3C71" w:rsidRDefault="00BF3C71" w:rsidP="00BF3C71">
      <w:pPr>
        <w:spacing w:after="0" w:line="240" w:lineRule="auto"/>
        <w:jc w:val="both"/>
        <w:rPr>
          <w:rFonts w:asciiTheme="majorHAnsi" w:hAnsiTheme="majorHAnsi" w:cstheme="majorBidi"/>
        </w:rPr>
      </w:pPr>
    </w:p>
    <w:p w14:paraId="701C468F" w14:textId="77777777" w:rsidR="00CA4FE8" w:rsidRDefault="00CA4FE8" w:rsidP="00CA4FE8">
      <w:pPr>
        <w:spacing w:after="0" w:line="240" w:lineRule="auto"/>
        <w:jc w:val="both"/>
        <w:rPr>
          <w:rFonts w:asciiTheme="majorHAnsi" w:hAnsiTheme="majorHAnsi" w:cstheme="majorBidi"/>
        </w:rPr>
      </w:pPr>
      <w:r w:rsidRPr="00CA4FE8">
        <w:rPr>
          <w:rFonts w:asciiTheme="majorHAnsi" w:hAnsiTheme="majorHAnsi" w:cstheme="majorHAnsi"/>
          <w:lang w:bidi="en-GB"/>
        </w:rPr>
        <w:t>A taxpayer may choose</w:t>
      </w:r>
      <w:r w:rsidRPr="00CA4FE8">
        <w:rPr>
          <w:rFonts w:asciiTheme="majorHAnsi" w:hAnsiTheme="majorHAnsi" w:cstheme="majorHAnsi"/>
          <w:b/>
          <w:lang w:bidi="en-GB"/>
        </w:rPr>
        <w:t xml:space="preserve"> a simplified method of determining the taxable amount constituting the amount corresponding to 3% of the value of revenue generated by the taxpayer in a tax year from the source of revenue other than from capital gains</w:t>
      </w:r>
      <w:r w:rsidRPr="79E03DEC">
        <w:rPr>
          <w:rFonts w:asciiTheme="majorHAnsi" w:hAnsiTheme="majorHAnsi" w:cstheme="majorBidi"/>
          <w:lang w:bidi="en-GB"/>
        </w:rPr>
        <w:t xml:space="preserve">, where the taxpayer's choice of such method of determining the tax base is indicated in the annual CIT-8 tax return submitted for the tax year for which they make such a choice. </w:t>
      </w:r>
      <w:r w:rsidRPr="79E03DEC">
        <w:rPr>
          <w:rFonts w:asciiTheme="majorHAnsi" w:hAnsiTheme="majorHAnsi" w:cstheme="majorBidi"/>
          <w:b/>
          <w:lang w:bidi="en-GB"/>
        </w:rPr>
        <w:t>In this case, the tax rate is also 10% of the tax base.</w:t>
      </w:r>
    </w:p>
    <w:p w14:paraId="3715E691" w14:textId="40B3250E" w:rsidR="00BF3C71" w:rsidRPr="00170DCB" w:rsidRDefault="00BF3C71" w:rsidP="00BF3C71">
      <w:pPr>
        <w:spacing w:before="120" w:after="0" w:line="240" w:lineRule="auto"/>
        <w:jc w:val="both"/>
        <w:rPr>
          <w:rFonts w:asciiTheme="majorHAnsi" w:hAnsiTheme="majorHAnsi" w:cstheme="majorBidi"/>
          <w:b/>
        </w:rPr>
      </w:pPr>
      <w:r w:rsidRPr="734BBE7B">
        <w:rPr>
          <w:rFonts w:asciiTheme="majorHAnsi" w:hAnsiTheme="majorHAnsi" w:cstheme="majorBidi"/>
          <w:b/>
          <w:lang w:bidi="en-GB"/>
        </w:rPr>
        <w:t>The MIT does not include taxpayers:</w:t>
      </w:r>
    </w:p>
    <w:p w14:paraId="5E3B1BC5" w14:textId="77777777" w:rsidR="00BF3C71" w:rsidRPr="005C36AA" w:rsidRDefault="00BF3C71">
      <w:pPr>
        <w:pStyle w:val="Akapitzlist"/>
        <w:numPr>
          <w:ilvl w:val="0"/>
          <w:numId w:val="6"/>
        </w:numPr>
        <w:jc w:val="both"/>
        <w:rPr>
          <w:rFonts w:asciiTheme="majorHAnsi" w:hAnsiTheme="majorHAnsi" w:cstheme="majorHAnsi"/>
          <w:sz w:val="22"/>
          <w:szCs w:val="22"/>
        </w:rPr>
      </w:pPr>
      <w:r w:rsidRPr="005C36AA">
        <w:rPr>
          <w:rFonts w:asciiTheme="majorHAnsi" w:hAnsiTheme="majorHAnsi" w:cstheme="majorHAnsi"/>
          <w:b/>
          <w:sz w:val="22"/>
          <w:szCs w:val="22"/>
          <w:lang w:bidi="en-GB"/>
        </w:rPr>
        <w:t>in the tax year in which they begin business activity, and in the following two years,</w:t>
      </w:r>
    </w:p>
    <w:p w14:paraId="1CA53F44" w14:textId="77777777" w:rsidR="00BF3C71" w:rsidRPr="005C36AA" w:rsidRDefault="00BF3C71">
      <w:pPr>
        <w:pStyle w:val="Akapitzlist"/>
        <w:numPr>
          <w:ilvl w:val="0"/>
          <w:numId w:val="6"/>
        </w:numPr>
        <w:jc w:val="both"/>
        <w:rPr>
          <w:rFonts w:asciiTheme="majorHAnsi" w:hAnsiTheme="majorHAnsi" w:cstheme="majorHAnsi"/>
          <w:sz w:val="22"/>
          <w:szCs w:val="22"/>
        </w:rPr>
      </w:pPr>
      <w:r w:rsidRPr="005C36AA">
        <w:rPr>
          <w:rFonts w:asciiTheme="majorHAnsi" w:hAnsiTheme="majorHAnsi" w:cstheme="majorHAnsi"/>
          <w:sz w:val="22"/>
          <w:szCs w:val="22"/>
          <w:lang w:bidi="en-GB"/>
        </w:rPr>
        <w:t xml:space="preserve">being </w:t>
      </w:r>
      <w:r w:rsidRPr="005C36AA">
        <w:rPr>
          <w:rFonts w:asciiTheme="majorHAnsi" w:hAnsiTheme="majorHAnsi" w:cstheme="majorHAnsi"/>
          <w:b/>
          <w:sz w:val="22"/>
          <w:szCs w:val="22"/>
          <w:lang w:bidi="en-GB"/>
        </w:rPr>
        <w:t>financial undertakings</w:t>
      </w:r>
      <w:r w:rsidRPr="005C36AA">
        <w:rPr>
          <w:rFonts w:asciiTheme="majorHAnsi" w:hAnsiTheme="majorHAnsi" w:cstheme="majorHAnsi"/>
          <w:sz w:val="22"/>
          <w:szCs w:val="22"/>
          <w:lang w:bidi="en-GB"/>
        </w:rPr>
        <w:t xml:space="preserve"> within the meaning of Article 15c(16) of the CIT Act,</w:t>
      </w:r>
    </w:p>
    <w:p w14:paraId="0A78E05C" w14:textId="77777777" w:rsidR="00BF3C71" w:rsidRPr="005C36AA" w:rsidRDefault="00BF3C71">
      <w:pPr>
        <w:pStyle w:val="Akapitzlist"/>
        <w:numPr>
          <w:ilvl w:val="0"/>
          <w:numId w:val="6"/>
        </w:numPr>
        <w:jc w:val="both"/>
        <w:rPr>
          <w:rFonts w:asciiTheme="majorHAnsi" w:hAnsiTheme="majorHAnsi" w:cstheme="majorHAnsi"/>
          <w:sz w:val="22"/>
          <w:szCs w:val="22"/>
        </w:rPr>
      </w:pPr>
      <w:r w:rsidRPr="005C36AA">
        <w:rPr>
          <w:rFonts w:asciiTheme="majorHAnsi" w:hAnsiTheme="majorHAnsi" w:cstheme="majorHAnsi"/>
          <w:sz w:val="22"/>
          <w:szCs w:val="22"/>
          <w:lang w:bidi="en-GB"/>
        </w:rPr>
        <w:t xml:space="preserve">whose </w:t>
      </w:r>
      <w:r w:rsidRPr="005C36AA">
        <w:rPr>
          <w:rFonts w:asciiTheme="majorHAnsi" w:hAnsiTheme="majorHAnsi" w:cstheme="majorHAnsi"/>
          <w:b/>
          <w:sz w:val="22"/>
          <w:szCs w:val="22"/>
          <w:lang w:bidi="en-GB"/>
        </w:rPr>
        <w:t>revenue was at least 30% lower</w:t>
      </w:r>
      <w:r w:rsidRPr="005C36AA">
        <w:rPr>
          <w:rFonts w:asciiTheme="majorHAnsi" w:hAnsiTheme="majorHAnsi" w:cstheme="majorHAnsi"/>
          <w:sz w:val="22"/>
          <w:szCs w:val="22"/>
          <w:lang w:bidi="en-GB"/>
        </w:rPr>
        <w:t xml:space="preserve"> in comparison with the previous year,</w:t>
      </w:r>
    </w:p>
    <w:p w14:paraId="5A43D5EE" w14:textId="77777777" w:rsidR="00BF3C71" w:rsidRPr="005C36AA" w:rsidRDefault="00BF3C71">
      <w:pPr>
        <w:pStyle w:val="Akapitzlist"/>
        <w:numPr>
          <w:ilvl w:val="0"/>
          <w:numId w:val="6"/>
        </w:numPr>
        <w:jc w:val="both"/>
        <w:rPr>
          <w:rFonts w:asciiTheme="majorHAnsi" w:hAnsiTheme="majorHAnsi" w:cstheme="majorHAnsi"/>
          <w:sz w:val="22"/>
          <w:szCs w:val="22"/>
        </w:rPr>
      </w:pPr>
      <w:r w:rsidRPr="005C36AA">
        <w:rPr>
          <w:rFonts w:asciiTheme="majorHAnsi" w:hAnsiTheme="majorHAnsi" w:cstheme="majorHAnsi"/>
          <w:b/>
          <w:sz w:val="22"/>
          <w:szCs w:val="22"/>
          <w:lang w:bidi="en-GB"/>
        </w:rPr>
        <w:t>whose shareholders or partners are only natural persons and if the taxpayer does not hold, directly or indirectly, more than 5% of the shares in the capital of another company</w:t>
      </w:r>
      <w:r w:rsidRPr="005C36AA">
        <w:rPr>
          <w:rFonts w:asciiTheme="majorHAnsi" w:hAnsiTheme="majorHAnsi" w:cstheme="majorHAnsi"/>
          <w:sz w:val="22"/>
          <w:szCs w:val="22"/>
          <w:lang w:bidi="en-GB"/>
        </w:rPr>
        <w:t>, or 5% of all rights and obligations in a company which is not a legal person, or other property rights connected with the right to receive the benefit as a founder (sponsor) or a beneficiary of a foundation, trust or other entity or legal relationship of a trust nature,</w:t>
      </w:r>
    </w:p>
    <w:p w14:paraId="7772E140" w14:textId="77777777" w:rsidR="00BF3C71" w:rsidRPr="005C36AA" w:rsidRDefault="00BF3C71">
      <w:pPr>
        <w:pStyle w:val="Akapitzlist"/>
        <w:numPr>
          <w:ilvl w:val="0"/>
          <w:numId w:val="6"/>
        </w:numPr>
        <w:jc w:val="both"/>
        <w:rPr>
          <w:rFonts w:asciiTheme="majorHAnsi" w:hAnsiTheme="majorHAnsi" w:cstheme="majorHAnsi"/>
          <w:sz w:val="22"/>
          <w:szCs w:val="22"/>
        </w:rPr>
      </w:pPr>
      <w:r w:rsidRPr="005C36AA">
        <w:rPr>
          <w:rFonts w:asciiTheme="majorHAnsi" w:hAnsiTheme="majorHAnsi" w:cstheme="majorHAnsi"/>
          <w:sz w:val="22"/>
          <w:szCs w:val="22"/>
          <w:lang w:bidi="en-GB"/>
        </w:rPr>
        <w:t>whose prevailing business activity includes international maritime transport, aviation, mining or healthcare activities,</w:t>
      </w:r>
    </w:p>
    <w:p w14:paraId="0D3853A2" w14:textId="77777777" w:rsidR="00BF3C71" w:rsidRPr="005C36AA" w:rsidRDefault="00BF3C71">
      <w:pPr>
        <w:pStyle w:val="Akapitzlist"/>
        <w:numPr>
          <w:ilvl w:val="0"/>
          <w:numId w:val="6"/>
        </w:numPr>
        <w:jc w:val="both"/>
        <w:rPr>
          <w:rFonts w:asciiTheme="majorHAnsi" w:hAnsiTheme="majorHAnsi" w:cstheme="majorHAnsi"/>
          <w:sz w:val="22"/>
          <w:szCs w:val="22"/>
        </w:rPr>
      </w:pPr>
      <w:r w:rsidRPr="005C36AA">
        <w:rPr>
          <w:rFonts w:asciiTheme="majorHAnsi" w:hAnsiTheme="majorHAnsi" w:cstheme="majorHAnsi"/>
          <w:sz w:val="22"/>
          <w:szCs w:val="22"/>
          <w:lang w:bidi="en-GB"/>
        </w:rPr>
        <w:t>who are members of the group of at least two companies (being taxpayers in Poland), in which one company holds, directly or indirectly, throughout the entire tax year 75% share in the capital of other companies comprising this group, if the tax year of the companies covers the same period and the share of total income of the companies in their total revenue calculated for the tax year is higher than 2%.</w:t>
      </w:r>
    </w:p>
    <w:p w14:paraId="44ED193C" w14:textId="77777777" w:rsidR="00BF3C71" w:rsidRPr="00D67383" w:rsidRDefault="00BF3C71">
      <w:pPr>
        <w:pStyle w:val="Akapitzlist"/>
        <w:numPr>
          <w:ilvl w:val="0"/>
          <w:numId w:val="6"/>
        </w:numPr>
        <w:jc w:val="both"/>
        <w:rPr>
          <w:rFonts w:asciiTheme="majorHAnsi" w:hAnsiTheme="majorHAnsi" w:cstheme="majorHAnsi"/>
          <w:b/>
          <w:bCs/>
          <w:sz w:val="22"/>
          <w:szCs w:val="22"/>
        </w:rPr>
      </w:pPr>
      <w:r w:rsidRPr="00D67383">
        <w:rPr>
          <w:rFonts w:asciiTheme="majorHAnsi" w:eastAsiaTheme="majorEastAsia" w:hAnsiTheme="majorHAnsi" w:cstheme="majorHAnsi"/>
          <w:b/>
          <w:sz w:val="22"/>
          <w:szCs w:val="22"/>
          <w:lang w:bidi="en-GB"/>
        </w:rPr>
        <w:t>being a small taxpayer,</w:t>
      </w:r>
    </w:p>
    <w:p w14:paraId="56EDF327" w14:textId="77777777" w:rsidR="00BF3C71" w:rsidRPr="005C36AA" w:rsidRDefault="00BF3C71">
      <w:pPr>
        <w:pStyle w:val="Akapitzlist"/>
        <w:numPr>
          <w:ilvl w:val="0"/>
          <w:numId w:val="6"/>
        </w:numPr>
        <w:jc w:val="both"/>
        <w:rPr>
          <w:rFonts w:asciiTheme="majorHAnsi" w:eastAsiaTheme="majorEastAsia" w:hAnsiTheme="majorHAnsi" w:cstheme="majorHAnsi"/>
          <w:sz w:val="22"/>
          <w:szCs w:val="22"/>
        </w:rPr>
      </w:pPr>
      <w:r w:rsidRPr="005C36AA">
        <w:rPr>
          <w:rFonts w:asciiTheme="majorHAnsi" w:eastAsiaTheme="majorEastAsia" w:hAnsiTheme="majorHAnsi" w:cstheme="majorHAnsi"/>
          <w:sz w:val="22"/>
          <w:szCs w:val="22"/>
          <w:lang w:bidi="en-GB"/>
        </w:rPr>
        <w:t>being municipal management companies referred to in a separate act,</w:t>
      </w:r>
    </w:p>
    <w:p w14:paraId="01960FA4" w14:textId="77777777" w:rsidR="00BF3C71" w:rsidRPr="005C36AA" w:rsidRDefault="00BF3C71">
      <w:pPr>
        <w:pStyle w:val="Akapitzlist"/>
        <w:numPr>
          <w:ilvl w:val="0"/>
          <w:numId w:val="6"/>
        </w:numPr>
        <w:jc w:val="both"/>
        <w:rPr>
          <w:rFonts w:asciiTheme="majorHAnsi" w:eastAsiaTheme="majorEastAsia" w:hAnsiTheme="majorHAnsi" w:cstheme="majorHAnsi"/>
          <w:sz w:val="22"/>
          <w:szCs w:val="22"/>
        </w:rPr>
      </w:pPr>
      <w:r w:rsidRPr="005C36AA">
        <w:rPr>
          <w:rFonts w:asciiTheme="majorHAnsi" w:eastAsiaTheme="majorEastAsia" w:hAnsiTheme="majorHAnsi" w:cstheme="majorHAnsi"/>
          <w:sz w:val="22"/>
          <w:szCs w:val="22"/>
          <w:lang w:bidi="en-GB"/>
        </w:rPr>
        <w:lastRenderedPageBreak/>
        <w:t>who have achieved the share referred to in section 1(2), in one of the three tax years immediately preceding the tax year for which the minimum income tax is due, in the amount of at least 2%;</w:t>
      </w:r>
    </w:p>
    <w:p w14:paraId="74E2AC57" w14:textId="77777777" w:rsidR="00BF3C71" w:rsidRPr="005C36AA" w:rsidRDefault="00BF3C71">
      <w:pPr>
        <w:pStyle w:val="Akapitzlist"/>
        <w:numPr>
          <w:ilvl w:val="0"/>
          <w:numId w:val="6"/>
        </w:numPr>
        <w:jc w:val="both"/>
        <w:rPr>
          <w:rFonts w:asciiTheme="majorHAnsi" w:eastAsiaTheme="majorEastAsia" w:hAnsiTheme="majorHAnsi" w:cstheme="majorHAnsi"/>
          <w:sz w:val="22"/>
          <w:szCs w:val="22"/>
        </w:rPr>
      </w:pPr>
      <w:r w:rsidRPr="005C36AA">
        <w:rPr>
          <w:rFonts w:asciiTheme="majorHAnsi" w:eastAsiaTheme="majorEastAsia" w:hAnsiTheme="majorHAnsi" w:cstheme="majorHAnsi"/>
          <w:sz w:val="22"/>
          <w:szCs w:val="22"/>
          <w:lang w:bidi="en-GB"/>
        </w:rPr>
        <w:t>put into bankruptcy, liquidation or covered by restructuring proceedings,</w:t>
      </w:r>
    </w:p>
    <w:p w14:paraId="36FA746D" w14:textId="77777777" w:rsidR="00BF3C71" w:rsidRPr="005C36AA" w:rsidRDefault="00BF3C71">
      <w:pPr>
        <w:pStyle w:val="Akapitzlist"/>
        <w:numPr>
          <w:ilvl w:val="0"/>
          <w:numId w:val="6"/>
        </w:numPr>
        <w:jc w:val="both"/>
        <w:rPr>
          <w:rFonts w:asciiTheme="majorHAnsi" w:eastAsiaTheme="majorEastAsia" w:hAnsiTheme="majorHAnsi" w:cstheme="majorHAnsi"/>
          <w:sz w:val="22"/>
          <w:szCs w:val="22"/>
        </w:rPr>
      </w:pPr>
      <w:r w:rsidRPr="005C36AA">
        <w:rPr>
          <w:rFonts w:asciiTheme="majorHAnsi" w:eastAsiaTheme="majorEastAsia" w:hAnsiTheme="majorHAnsi" w:cstheme="majorHAnsi"/>
          <w:sz w:val="22"/>
          <w:szCs w:val="22"/>
          <w:lang w:bidi="en-GB"/>
        </w:rPr>
        <w:t>being a party to a cooperation agreement,</w:t>
      </w:r>
    </w:p>
    <w:p w14:paraId="4151517D" w14:textId="77777777" w:rsidR="00BF3C71" w:rsidRPr="005C36AA" w:rsidRDefault="00BF3C71">
      <w:pPr>
        <w:pStyle w:val="Akapitzlist"/>
        <w:numPr>
          <w:ilvl w:val="0"/>
          <w:numId w:val="6"/>
        </w:numPr>
        <w:jc w:val="both"/>
        <w:rPr>
          <w:rFonts w:asciiTheme="majorHAnsi" w:eastAsiaTheme="majorEastAsia" w:hAnsiTheme="majorHAnsi" w:cstheme="majorHAnsi"/>
          <w:sz w:val="22"/>
          <w:szCs w:val="22"/>
        </w:rPr>
      </w:pPr>
      <w:r w:rsidRPr="005C36AA">
        <w:rPr>
          <w:rFonts w:asciiTheme="majorHAnsi" w:eastAsiaTheme="majorEastAsia" w:hAnsiTheme="majorHAnsi" w:cstheme="majorHAnsi"/>
          <w:sz w:val="22"/>
          <w:szCs w:val="22"/>
          <w:lang w:bidi="en-GB"/>
        </w:rPr>
        <w:t>being mining businesses receiving public aid,</w:t>
      </w:r>
    </w:p>
    <w:p w14:paraId="67B004B8" w14:textId="77777777" w:rsidR="00BF3C71" w:rsidRPr="00BF3C71" w:rsidRDefault="00BF3C71">
      <w:pPr>
        <w:pStyle w:val="Akapitzlist"/>
        <w:numPr>
          <w:ilvl w:val="0"/>
          <w:numId w:val="6"/>
        </w:numPr>
        <w:jc w:val="both"/>
        <w:rPr>
          <w:rFonts w:asciiTheme="majorHAnsi" w:eastAsiaTheme="majorEastAsia" w:hAnsiTheme="majorHAnsi" w:cstheme="majorHAnsi"/>
          <w:sz w:val="22"/>
          <w:szCs w:val="22"/>
        </w:rPr>
      </w:pPr>
      <w:r w:rsidRPr="005C36AA">
        <w:rPr>
          <w:rFonts w:asciiTheme="majorHAnsi" w:eastAsiaTheme="majorEastAsia" w:hAnsiTheme="majorHAnsi" w:cstheme="majorHAnsi"/>
          <w:sz w:val="22"/>
          <w:szCs w:val="22"/>
          <w:lang w:bidi="en-GB"/>
        </w:rPr>
        <w:t>being a financial institution in the factoring sector.</w:t>
      </w:r>
    </w:p>
    <w:p w14:paraId="66B1FEA7" w14:textId="77777777" w:rsidR="00BF3C71" w:rsidRPr="00170DCB" w:rsidRDefault="00BF3C71" w:rsidP="00BF3C71">
      <w:pPr>
        <w:spacing w:before="120"/>
        <w:jc w:val="both"/>
        <w:rPr>
          <w:rFonts w:asciiTheme="majorHAnsi" w:hAnsiTheme="majorHAnsi" w:cstheme="majorHAnsi"/>
        </w:rPr>
      </w:pPr>
      <w:r w:rsidRPr="00170DCB">
        <w:rPr>
          <w:rFonts w:asciiTheme="majorHAnsi" w:hAnsiTheme="majorHAnsi" w:cstheme="majorHAnsi"/>
          <w:lang w:bidi="en-GB"/>
        </w:rPr>
        <w:t>Taxpayers are obliged to pay to the bank account of the tax office the minimum income tax due by the end of the third month of the following year, while the amount of the minimum income tax to be paid is reduced by the tax due for the same tax year calculated in accordance with Article 19 (in line with general principles).</w:t>
      </w:r>
    </w:p>
    <w:p w14:paraId="55833784" w14:textId="77777777" w:rsidR="00BF3C71" w:rsidRDefault="00BF3C71" w:rsidP="00BF3C71">
      <w:pPr>
        <w:jc w:val="both"/>
        <w:rPr>
          <w:rFonts w:asciiTheme="majorHAnsi" w:hAnsiTheme="majorHAnsi" w:cstheme="majorHAnsi"/>
        </w:rPr>
      </w:pPr>
      <w:r w:rsidRPr="00170DCB">
        <w:rPr>
          <w:rFonts w:asciiTheme="majorHAnsi" w:hAnsiTheme="majorHAnsi" w:cstheme="majorHAnsi"/>
          <w:lang w:bidi="en-GB"/>
        </w:rPr>
        <w:t>The amount of the minimum income tax paid for a given tax year is deducted from the tax calculated in accordance with Article 19 (in line with general principles). The deduction is made in the tax return for 3 consecutive tax years immediately following the year for which the taxpayer paid the minimum income tax.</w:t>
      </w: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D70B73" w:rsidRPr="00170DCB" w14:paraId="6006E8A3" w14:textId="77777777" w:rsidTr="00E0234E">
        <w:tc>
          <w:tcPr>
            <w:tcW w:w="10211" w:type="dxa"/>
            <w:shd w:val="clear" w:color="auto" w:fill="444854"/>
          </w:tcPr>
          <w:p w14:paraId="32AE33D3" w14:textId="1FB8CD33" w:rsidR="00D70B73" w:rsidRPr="00170DCB" w:rsidRDefault="008A5D10" w:rsidP="00D70B73">
            <w:pPr>
              <w:pStyle w:val="Styl1"/>
              <w:spacing w:before="120" w:after="120"/>
              <w:ind w:left="357" w:hanging="357"/>
              <w:rPr>
                <w:rFonts w:asciiTheme="majorHAnsi" w:hAnsiTheme="majorHAnsi" w:cstheme="majorHAnsi"/>
                <w:color w:val="EFC812"/>
                <w:szCs w:val="22"/>
              </w:rPr>
            </w:pPr>
            <w:bookmarkStart w:id="2" w:name="_Toc128041978"/>
            <w:r>
              <w:rPr>
                <w:rFonts w:asciiTheme="majorHAnsi" w:hAnsiTheme="majorHAnsi" w:cstheme="majorHAnsi"/>
                <w:color w:val="EFC812"/>
                <w:szCs w:val="22"/>
                <w:lang w:bidi="en-GB"/>
              </w:rPr>
              <w:t>Obligation to send books to the tax office [PIT, CIT]</w:t>
            </w:r>
            <w:bookmarkEnd w:id="2"/>
          </w:p>
        </w:tc>
      </w:tr>
    </w:tbl>
    <w:p w14:paraId="19110427" w14:textId="5B099968" w:rsidR="00D70B73" w:rsidRPr="00D56CA0" w:rsidRDefault="00D70B73" w:rsidP="383395E8">
      <w:pPr>
        <w:spacing w:before="120" w:after="0"/>
        <w:jc w:val="both"/>
        <w:rPr>
          <w:rFonts w:asciiTheme="majorHAnsi" w:hAnsiTheme="majorHAnsi" w:cstheme="majorHAnsi"/>
        </w:rPr>
      </w:pPr>
      <w:r w:rsidRPr="00D56CA0">
        <w:rPr>
          <w:rFonts w:asciiTheme="majorHAnsi" w:hAnsiTheme="majorHAnsi" w:cstheme="majorHAnsi"/>
          <w:lang w:bidi="en-GB"/>
        </w:rPr>
        <w:t>Entities keeping books in a simplified form (revenue and expense ledger), accounting books or records of fixed assets and intangible assets are obliged to keep these books and records with the use of computer programmes and to send them to the tax office as at the last day of:</w:t>
      </w:r>
    </w:p>
    <w:p w14:paraId="3CD91B38" w14:textId="77777777" w:rsidR="00D70B73" w:rsidRPr="00D56CA0" w:rsidRDefault="00D70B73">
      <w:pPr>
        <w:pStyle w:val="Akapitzlist"/>
        <w:numPr>
          <w:ilvl w:val="0"/>
          <w:numId w:val="10"/>
        </w:numPr>
        <w:jc w:val="both"/>
        <w:rPr>
          <w:rFonts w:asciiTheme="majorHAnsi" w:eastAsia="Calibri" w:hAnsiTheme="majorHAnsi" w:cstheme="majorHAnsi"/>
          <w:sz w:val="22"/>
          <w:szCs w:val="22"/>
        </w:rPr>
      </w:pPr>
      <w:r w:rsidRPr="00D56CA0">
        <w:rPr>
          <w:rFonts w:asciiTheme="majorHAnsi" w:eastAsia="Calibri" w:hAnsiTheme="majorHAnsi" w:cstheme="majorHAnsi"/>
          <w:sz w:val="22"/>
          <w:szCs w:val="22"/>
          <w:lang w:bidi="en-GB"/>
        </w:rPr>
        <w:t>the month – if they form the basis for determining monthly advances,</w:t>
      </w:r>
    </w:p>
    <w:p w14:paraId="21A08820" w14:textId="77777777" w:rsidR="00B95342" w:rsidRPr="00D56CA0" w:rsidRDefault="00D70B73">
      <w:pPr>
        <w:pStyle w:val="Akapitzlist"/>
        <w:numPr>
          <w:ilvl w:val="0"/>
          <w:numId w:val="10"/>
        </w:numPr>
        <w:jc w:val="both"/>
        <w:rPr>
          <w:rFonts w:asciiTheme="majorHAnsi" w:eastAsia="Calibri" w:hAnsiTheme="majorHAnsi" w:cstheme="majorHAnsi"/>
          <w:sz w:val="22"/>
          <w:szCs w:val="22"/>
        </w:rPr>
      </w:pPr>
      <w:r w:rsidRPr="00D56CA0">
        <w:rPr>
          <w:rFonts w:asciiTheme="majorHAnsi" w:eastAsia="Calibri" w:hAnsiTheme="majorHAnsi" w:cstheme="majorHAnsi"/>
          <w:sz w:val="22"/>
          <w:szCs w:val="22"/>
          <w:lang w:bidi="en-GB"/>
        </w:rPr>
        <w:t>the quarter – if they are the basis for determining quarterly advances</w:t>
      </w:r>
    </w:p>
    <w:p w14:paraId="4B454E30" w14:textId="56162B49" w:rsidR="00D70B73" w:rsidRPr="00D56CA0" w:rsidRDefault="00D70B73" w:rsidP="00D70B73">
      <w:pPr>
        <w:jc w:val="both"/>
        <w:rPr>
          <w:rFonts w:asciiTheme="majorHAnsi" w:hAnsiTheme="majorHAnsi" w:cstheme="majorHAnsi"/>
        </w:rPr>
      </w:pPr>
      <w:r w:rsidRPr="00D56CA0">
        <w:rPr>
          <w:rFonts w:asciiTheme="majorHAnsi" w:hAnsiTheme="majorHAnsi" w:cstheme="majorHAnsi"/>
          <w:b/>
          <w:lang w:bidi="en-GB"/>
        </w:rPr>
        <w:t>by the 20</w:t>
      </w:r>
      <w:r w:rsidRPr="00F1765C">
        <w:rPr>
          <w:rFonts w:asciiTheme="majorHAnsi" w:hAnsiTheme="majorHAnsi" w:cstheme="majorHAnsi"/>
          <w:b/>
          <w:vertAlign w:val="superscript"/>
          <w:lang w:bidi="en-GB"/>
        </w:rPr>
        <w:t>th</w:t>
      </w:r>
      <w:r w:rsidRPr="00D56CA0">
        <w:rPr>
          <w:rFonts w:asciiTheme="majorHAnsi" w:hAnsiTheme="majorHAnsi" w:cstheme="majorHAnsi"/>
          <w:b/>
          <w:lang w:bidi="en-GB"/>
        </w:rPr>
        <w:t xml:space="preserve"> day of the month following the end of that month or quarter respectively, and after the end of the tax year by the date of the expiry of the deadline specified for submitting the annual PIT or CIT returns.</w:t>
      </w:r>
    </w:p>
    <w:p w14:paraId="3CD56C84" w14:textId="77777777" w:rsidR="00D70B73" w:rsidRPr="00D56CA0" w:rsidRDefault="00D70B73" w:rsidP="00D70B73">
      <w:pPr>
        <w:jc w:val="both"/>
        <w:rPr>
          <w:rFonts w:asciiTheme="majorHAnsi" w:hAnsiTheme="majorHAnsi" w:cstheme="majorHAnsi"/>
        </w:rPr>
      </w:pPr>
      <w:r w:rsidRPr="00D56CA0">
        <w:rPr>
          <w:rFonts w:asciiTheme="majorHAnsi" w:hAnsiTheme="majorHAnsi" w:cstheme="majorHAnsi"/>
          <w:lang w:bidi="en-GB"/>
        </w:rPr>
        <w:t>Reporting must take place through electronic means of communication, in an electronic form corresponding to the logical structure, i.e. in the form of JPK file.</w:t>
      </w:r>
    </w:p>
    <w:p w14:paraId="62B0DF10" w14:textId="77777777" w:rsidR="00D70B73" w:rsidRPr="00D56CA0" w:rsidRDefault="00D70B73" w:rsidP="00D70B73">
      <w:pPr>
        <w:jc w:val="both"/>
        <w:rPr>
          <w:rFonts w:asciiTheme="majorHAnsi" w:hAnsiTheme="majorHAnsi" w:cstheme="majorHAnsi"/>
        </w:rPr>
      </w:pPr>
      <w:r w:rsidRPr="00D56CA0">
        <w:rPr>
          <w:rFonts w:asciiTheme="majorHAnsi" w:hAnsiTheme="majorHAnsi" w:cstheme="majorHAnsi"/>
          <w:lang w:bidi="en-GB"/>
        </w:rPr>
        <w:t>The same rule applies to entities settling in the form of a lump sum tax – in this case reports in JPK will include the record of revenue or list of fixed assets and intangible assets.</w:t>
      </w:r>
    </w:p>
    <w:p w14:paraId="2A939867" w14:textId="7693D91A" w:rsidR="00D70B73" w:rsidRPr="00D56CA0" w:rsidRDefault="62034721" w:rsidP="00D70B73">
      <w:pPr>
        <w:jc w:val="both"/>
        <w:rPr>
          <w:rFonts w:asciiTheme="majorHAnsi" w:hAnsiTheme="majorHAnsi" w:cstheme="majorHAnsi"/>
        </w:rPr>
      </w:pPr>
      <w:r w:rsidRPr="00D56CA0">
        <w:rPr>
          <w:rFonts w:asciiTheme="majorHAnsi" w:hAnsiTheme="majorHAnsi" w:cstheme="majorHAnsi"/>
          <w:lang w:bidi="en-GB"/>
        </w:rPr>
        <w:t>By the amendment of the Act of 9 June 2022 amending the Personal Income Tax Act and certain other acts, the legislator postponed the entry into force of the obligation of the above-mentioned reporting.</w:t>
      </w:r>
    </w:p>
    <w:p w14:paraId="25C75791" w14:textId="78346714" w:rsidR="14F8066F" w:rsidRPr="00602948" w:rsidRDefault="14F8066F" w:rsidP="79E03DEC">
      <w:pPr>
        <w:jc w:val="both"/>
        <w:rPr>
          <w:rFonts w:asciiTheme="majorHAnsi" w:hAnsiTheme="majorHAnsi" w:cstheme="majorHAnsi"/>
          <w:b/>
          <w:bCs/>
        </w:rPr>
      </w:pPr>
      <w:r w:rsidRPr="00602948">
        <w:rPr>
          <w:rFonts w:asciiTheme="majorHAnsi" w:hAnsiTheme="majorHAnsi" w:cstheme="majorHAnsi"/>
          <w:b/>
          <w:lang w:bidi="en-GB"/>
        </w:rPr>
        <w:t>The obligation to report the accounts in an electronic form will be enforced for the first time for settlement periods starting after:</w:t>
      </w:r>
    </w:p>
    <w:p w14:paraId="491893F4" w14:textId="0328E047" w:rsidR="003C43E3" w:rsidRPr="00D56CA0" w:rsidRDefault="43E09145">
      <w:pPr>
        <w:pStyle w:val="Akapitzlist"/>
        <w:numPr>
          <w:ilvl w:val="0"/>
          <w:numId w:val="16"/>
        </w:numPr>
        <w:jc w:val="both"/>
        <w:rPr>
          <w:rFonts w:asciiTheme="majorHAnsi" w:hAnsiTheme="majorHAnsi" w:cstheme="majorHAnsi"/>
          <w:sz w:val="22"/>
          <w:szCs w:val="22"/>
        </w:rPr>
      </w:pPr>
      <w:r w:rsidRPr="00D56CA0">
        <w:rPr>
          <w:rFonts w:asciiTheme="majorHAnsi" w:hAnsiTheme="majorHAnsi" w:cstheme="majorHAnsi"/>
          <w:b/>
          <w:sz w:val="22"/>
          <w:szCs w:val="22"/>
          <w:lang w:bidi="en-GB"/>
        </w:rPr>
        <w:t>31 December 2023</w:t>
      </w:r>
      <w:r w:rsidRPr="00D56CA0">
        <w:rPr>
          <w:rFonts w:asciiTheme="majorHAnsi" w:hAnsiTheme="majorHAnsi" w:cstheme="majorHAnsi"/>
          <w:sz w:val="22"/>
          <w:szCs w:val="22"/>
          <w:lang w:bidi="en-GB"/>
        </w:rPr>
        <w:t xml:space="preserve"> in the case of tax capital groups and CIT taxpayers whose value of revenue earned in the previous tax year exceeded the equivalent of EUR 50 million,</w:t>
      </w:r>
    </w:p>
    <w:p w14:paraId="22AE3FAF" w14:textId="3F5C47FE" w:rsidR="00CC5CF4" w:rsidRPr="00D56CA0" w:rsidRDefault="172A09EA">
      <w:pPr>
        <w:pStyle w:val="Akapitzlist"/>
        <w:numPr>
          <w:ilvl w:val="0"/>
          <w:numId w:val="16"/>
        </w:numPr>
        <w:jc w:val="both"/>
        <w:rPr>
          <w:rFonts w:asciiTheme="majorHAnsi" w:hAnsiTheme="majorHAnsi" w:cstheme="majorHAnsi"/>
          <w:sz w:val="22"/>
          <w:szCs w:val="22"/>
        </w:rPr>
      </w:pPr>
      <w:r w:rsidRPr="00D56CA0">
        <w:rPr>
          <w:rFonts w:asciiTheme="majorHAnsi" w:hAnsiTheme="majorHAnsi" w:cstheme="majorHAnsi"/>
          <w:b/>
          <w:sz w:val="22"/>
          <w:szCs w:val="22"/>
          <w:lang w:bidi="en-GB"/>
        </w:rPr>
        <w:t>31 December 2024</w:t>
      </w:r>
      <w:r w:rsidRPr="00D56CA0">
        <w:rPr>
          <w:rFonts w:asciiTheme="majorHAnsi" w:hAnsiTheme="majorHAnsi" w:cstheme="majorHAnsi"/>
          <w:sz w:val="22"/>
          <w:szCs w:val="22"/>
          <w:lang w:bidi="en-GB"/>
        </w:rPr>
        <w:t xml:space="preserve"> in the case of CIT taxpayers (other than those listed in item 1), obliged to send the JPK_V7 and PIT taxpayers (including those who settle in the form of a lump sum) obliged to send the JPK_V7,</w:t>
      </w:r>
    </w:p>
    <w:p w14:paraId="53DE79DD" w14:textId="24878F09" w:rsidR="4A801F9F" w:rsidRPr="00D56CA0" w:rsidRDefault="4A801F9F">
      <w:pPr>
        <w:pStyle w:val="Akapitzlist"/>
        <w:numPr>
          <w:ilvl w:val="0"/>
          <w:numId w:val="16"/>
        </w:numPr>
        <w:jc w:val="both"/>
        <w:rPr>
          <w:rFonts w:asciiTheme="majorHAnsi" w:hAnsiTheme="majorHAnsi" w:cstheme="majorHAnsi"/>
          <w:sz w:val="22"/>
          <w:szCs w:val="22"/>
        </w:rPr>
      </w:pPr>
      <w:r w:rsidRPr="00D56CA0">
        <w:rPr>
          <w:rFonts w:asciiTheme="majorHAnsi" w:hAnsiTheme="majorHAnsi" w:cstheme="majorHAnsi"/>
          <w:b/>
          <w:sz w:val="22"/>
          <w:szCs w:val="22"/>
          <w:lang w:bidi="en-GB"/>
        </w:rPr>
        <w:t>31 December 2025</w:t>
      </w:r>
      <w:r w:rsidRPr="00D56CA0">
        <w:rPr>
          <w:rFonts w:asciiTheme="majorHAnsi" w:hAnsiTheme="majorHAnsi" w:cstheme="majorHAnsi"/>
          <w:sz w:val="22"/>
          <w:szCs w:val="22"/>
          <w:lang w:bidi="en-GB"/>
        </w:rPr>
        <w:t xml:space="preserve"> for other CIT and PIT taxpayers.</w:t>
      </w:r>
    </w:p>
    <w:p w14:paraId="03B75919" w14:textId="77777777" w:rsidR="00AC0670" w:rsidRPr="00CC5CF4" w:rsidRDefault="00AC0670" w:rsidP="00AC0670">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D70B73" w:rsidRPr="00170DCB" w14:paraId="73845BB3" w14:textId="77777777" w:rsidTr="00E0234E">
        <w:tc>
          <w:tcPr>
            <w:tcW w:w="10211" w:type="dxa"/>
            <w:shd w:val="clear" w:color="auto" w:fill="444854"/>
          </w:tcPr>
          <w:p w14:paraId="7B4A7C02" w14:textId="47322405" w:rsidR="00D70B73" w:rsidRPr="00170DCB" w:rsidRDefault="00D70B73" w:rsidP="00D70B73">
            <w:pPr>
              <w:pStyle w:val="Styl1"/>
              <w:spacing w:before="120" w:after="120"/>
              <w:ind w:left="357" w:hanging="357"/>
              <w:rPr>
                <w:rFonts w:asciiTheme="majorHAnsi" w:hAnsiTheme="majorHAnsi" w:cstheme="majorHAnsi"/>
                <w:color w:val="EFC812"/>
                <w:szCs w:val="22"/>
              </w:rPr>
            </w:pPr>
            <w:bookmarkStart w:id="3" w:name="_Toc128041979"/>
            <w:r w:rsidRPr="00170DCB">
              <w:rPr>
                <w:rFonts w:asciiTheme="majorHAnsi" w:hAnsiTheme="majorHAnsi" w:cstheme="majorHAnsi"/>
                <w:color w:val="EFC812"/>
                <w:szCs w:val="22"/>
                <w:lang w:bidi="en-GB"/>
              </w:rPr>
              <w:t>Depreciation of residential premises as non-tax cost [PIT, CIT]</w:t>
            </w:r>
            <w:bookmarkEnd w:id="3"/>
          </w:p>
        </w:tc>
      </w:tr>
    </w:tbl>
    <w:p w14:paraId="2E2563C6" w14:textId="4F73868F" w:rsidR="00D70B73" w:rsidRPr="00170DCB" w:rsidRDefault="001902A7" w:rsidP="006C4456">
      <w:pPr>
        <w:spacing w:before="120" w:after="0"/>
        <w:jc w:val="both"/>
        <w:rPr>
          <w:rFonts w:asciiTheme="majorHAnsi" w:hAnsiTheme="majorHAnsi" w:cstheme="majorBidi"/>
        </w:rPr>
      </w:pPr>
      <w:r>
        <w:rPr>
          <w:rFonts w:asciiTheme="majorHAnsi" w:hAnsiTheme="majorHAnsi" w:cstheme="majorBidi"/>
          <w:lang w:bidi="en-GB"/>
        </w:rPr>
        <w:t>The exclusion from tax deductible costs of depreciation costs of residential buildings together with their lifts, residential premises constituting a separate real property, cooperative ownership right to residential premises and the right to a single-family house in a housing cooperative used for business activity or leased or rented under an agreement comes into force in 2023 (Article 22c(2) of the PIT Act and Article 16c(2) and (2a) of the CIT Act).</w:t>
      </w:r>
    </w:p>
    <w:p w14:paraId="216E4FC7" w14:textId="77777777" w:rsidR="005A19DC" w:rsidRPr="00602948" w:rsidRDefault="005A19DC" w:rsidP="00602948">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63443B" w:rsidRPr="00170DCB" w14:paraId="58424200" w14:textId="77777777" w:rsidTr="00E0234E">
        <w:tc>
          <w:tcPr>
            <w:tcW w:w="10211" w:type="dxa"/>
            <w:shd w:val="clear" w:color="auto" w:fill="444854"/>
          </w:tcPr>
          <w:p w14:paraId="549E4ECF" w14:textId="29D041CB" w:rsidR="0063443B" w:rsidRPr="00170DCB" w:rsidRDefault="0063443B" w:rsidP="0063443B">
            <w:pPr>
              <w:pStyle w:val="Styl1"/>
              <w:spacing w:before="120" w:after="120"/>
              <w:ind w:left="357" w:hanging="357"/>
              <w:rPr>
                <w:rFonts w:asciiTheme="majorHAnsi" w:hAnsiTheme="majorHAnsi" w:cstheme="majorBidi"/>
                <w:color w:val="EFC812"/>
              </w:rPr>
            </w:pPr>
            <w:bookmarkStart w:id="4" w:name="_Toc128041980"/>
            <w:r w:rsidRPr="79E03DEC">
              <w:rPr>
                <w:rFonts w:asciiTheme="majorHAnsi" w:hAnsiTheme="majorHAnsi" w:cstheme="majorBidi"/>
                <w:color w:val="EFC812"/>
                <w:lang w:bidi="en-GB"/>
              </w:rPr>
              <w:lastRenderedPageBreak/>
              <w:t>Tax on passed-on income [CIT]</w:t>
            </w:r>
            <w:bookmarkEnd w:id="4"/>
          </w:p>
        </w:tc>
      </w:tr>
    </w:tbl>
    <w:p w14:paraId="00EADBEF" w14:textId="4DD8D12F" w:rsidR="0063443B" w:rsidRPr="00170DCB" w:rsidRDefault="322DEA5F" w:rsidP="00D662B1">
      <w:pPr>
        <w:suppressAutoHyphens w:val="0"/>
        <w:autoSpaceDN/>
        <w:spacing w:before="120" w:after="0" w:line="240" w:lineRule="auto"/>
        <w:jc w:val="both"/>
        <w:textAlignment w:val="auto"/>
        <w:rPr>
          <w:rFonts w:asciiTheme="majorHAnsi" w:hAnsiTheme="majorHAnsi" w:cstheme="majorBidi"/>
        </w:rPr>
      </w:pPr>
      <w:r w:rsidRPr="2C985BC1">
        <w:rPr>
          <w:rFonts w:asciiTheme="majorHAnsi" w:hAnsiTheme="majorHAnsi" w:cstheme="majorBidi"/>
          <w:lang w:bidi="en-GB"/>
        </w:rPr>
        <w:t xml:space="preserve">On 1 January 2022, the CIT Act (Article 24aa) introduces a </w:t>
      </w:r>
      <w:r w:rsidRPr="2C985BC1">
        <w:rPr>
          <w:rFonts w:asciiTheme="majorHAnsi" w:hAnsiTheme="majorHAnsi" w:cstheme="majorBidi"/>
          <w:b/>
          <w:lang w:bidi="en-GB"/>
        </w:rPr>
        <w:t>tax on passed-on income</w:t>
      </w:r>
      <w:r w:rsidRPr="2C985BC1">
        <w:rPr>
          <w:rFonts w:asciiTheme="majorHAnsi" w:hAnsiTheme="majorHAnsi" w:cstheme="majorBidi"/>
          <w:lang w:bidi="en-GB"/>
        </w:rPr>
        <w:t xml:space="preserve"> (hereinafter the </w:t>
      </w:r>
      <w:r w:rsidRPr="2C985BC1">
        <w:rPr>
          <w:rFonts w:asciiTheme="majorHAnsi" w:hAnsiTheme="majorHAnsi" w:cstheme="majorBidi"/>
          <w:b/>
          <w:lang w:bidi="en-GB"/>
        </w:rPr>
        <w:t>TPI</w:t>
      </w:r>
      <w:r w:rsidRPr="2C985BC1">
        <w:rPr>
          <w:rFonts w:asciiTheme="majorHAnsi" w:hAnsiTheme="majorHAnsi" w:cstheme="majorBidi"/>
          <w:lang w:bidi="en-GB"/>
        </w:rPr>
        <w:t>), which covers some taxpayers. By the amendment of the Act of 7 October 2022 amending the Corporate Income Tax Act and certain other acts, the legislator changed the provisions on tax on passed-on income.</w:t>
      </w:r>
    </w:p>
    <w:p w14:paraId="0D0189C8" w14:textId="7230F8FC" w:rsidR="70309009" w:rsidRPr="00602948" w:rsidRDefault="70309009" w:rsidP="00D662B1">
      <w:pPr>
        <w:spacing w:before="120" w:after="0" w:line="240" w:lineRule="auto"/>
        <w:jc w:val="both"/>
        <w:rPr>
          <w:rFonts w:asciiTheme="majorHAnsi" w:hAnsiTheme="majorHAnsi" w:cstheme="majorBidi"/>
          <w:b/>
          <w:bCs/>
        </w:rPr>
      </w:pPr>
      <w:r w:rsidRPr="00602948">
        <w:rPr>
          <w:rFonts w:asciiTheme="majorHAnsi" w:hAnsiTheme="majorHAnsi" w:cstheme="majorBidi"/>
          <w:b/>
          <w:lang w:bidi="en-GB"/>
        </w:rPr>
        <w:t>The passed-on income is deemed to be costs incurred by a taxpayer, recognised as tax deductible costs, for an entity related with the taxpayer within the meaning of the CIT Act, which does not have a registered office or management in the territory of the Republic of Poland, if the following conditions are met jointly:</w:t>
      </w:r>
    </w:p>
    <w:p w14:paraId="28A3B402" w14:textId="1EDF131F" w:rsidR="70309009" w:rsidRPr="00833DE0" w:rsidRDefault="70309009" w:rsidP="00D662B1">
      <w:pPr>
        <w:pStyle w:val="Akapitzlist"/>
        <w:numPr>
          <w:ilvl w:val="0"/>
          <w:numId w:val="15"/>
        </w:numPr>
        <w:spacing w:before="120"/>
        <w:jc w:val="both"/>
        <w:rPr>
          <w:rFonts w:asciiTheme="majorHAnsi" w:eastAsiaTheme="majorEastAsia" w:hAnsiTheme="majorHAnsi" w:cstheme="majorBidi"/>
        </w:rPr>
      </w:pPr>
      <w:r w:rsidRPr="00833DE0">
        <w:rPr>
          <w:rFonts w:asciiTheme="majorHAnsi" w:eastAsiaTheme="majorEastAsia" w:hAnsiTheme="majorHAnsi" w:cstheme="majorBidi"/>
          <w:sz w:val="22"/>
          <w:szCs w:val="22"/>
          <w:lang w:bidi="en-GB"/>
        </w:rPr>
        <w:t>according to the tax law in force in the country of the registered office, management, registration or position of the related entity, income (revenue) of that entity obtained on one of the accounts of the passed-on income listed below is subject to taxation at the rate of income tax lower than 14,25%, calculated in accordance with the provisions of the CIT Act, or exemption, or exclusion from taxation of this tax;</w:t>
      </w:r>
    </w:p>
    <w:p w14:paraId="21E70647" w14:textId="5662E274" w:rsidR="248A38BD" w:rsidRPr="00833DE0" w:rsidRDefault="248A38BD" w:rsidP="00D662B1">
      <w:pPr>
        <w:pStyle w:val="Akapitzlist"/>
        <w:numPr>
          <w:ilvl w:val="0"/>
          <w:numId w:val="15"/>
        </w:numPr>
        <w:spacing w:before="120"/>
        <w:jc w:val="both"/>
        <w:rPr>
          <w:rFonts w:asciiTheme="majorHAnsi" w:eastAsiaTheme="majorEastAsia" w:hAnsiTheme="majorHAnsi" w:cstheme="majorBidi"/>
        </w:rPr>
      </w:pPr>
      <w:r w:rsidRPr="2C985BC1">
        <w:rPr>
          <w:rFonts w:asciiTheme="majorHAnsi" w:eastAsiaTheme="majorEastAsia" w:hAnsiTheme="majorHAnsi" w:cstheme="majorBidi"/>
          <w:sz w:val="22"/>
          <w:szCs w:val="22"/>
          <w:lang w:bidi="en-GB"/>
        </w:rPr>
        <w:t>that related entity obtains from a taxpayer or other companies related with the taxpayer within the meaning of the CIT Act, on accounts of passed-on income listed below, at least 50% of the total revenue determined in accordance with the income tax provisions or the accounting provisions;</w:t>
      </w:r>
    </w:p>
    <w:p w14:paraId="52FD2A9C" w14:textId="77777777" w:rsidR="00602948" w:rsidRPr="00602948" w:rsidRDefault="248A38BD" w:rsidP="00D662B1">
      <w:pPr>
        <w:pStyle w:val="Akapitzlist"/>
        <w:numPr>
          <w:ilvl w:val="0"/>
          <w:numId w:val="15"/>
        </w:numPr>
        <w:spacing w:before="120"/>
        <w:jc w:val="both"/>
        <w:rPr>
          <w:rFonts w:asciiTheme="majorHAnsi" w:eastAsiaTheme="majorEastAsia" w:hAnsiTheme="majorHAnsi" w:cstheme="majorBidi"/>
        </w:rPr>
      </w:pPr>
      <w:r w:rsidRPr="2C985BC1">
        <w:rPr>
          <w:rFonts w:asciiTheme="majorHAnsi" w:eastAsiaTheme="majorEastAsia" w:hAnsiTheme="majorHAnsi" w:cstheme="majorBidi"/>
          <w:sz w:val="22"/>
          <w:szCs w:val="22"/>
          <w:lang w:bidi="en-GB"/>
        </w:rPr>
        <w:t>that related party transfers, in any form, at least 10% of the revenues referred to in point 2, to another entity:</w:t>
      </w:r>
    </w:p>
    <w:p w14:paraId="5071F290" w14:textId="49E96543" w:rsidR="00602948" w:rsidRPr="00602948" w:rsidRDefault="248A38BD" w:rsidP="00D662B1">
      <w:pPr>
        <w:pStyle w:val="Akapitzlist"/>
        <w:numPr>
          <w:ilvl w:val="1"/>
          <w:numId w:val="15"/>
        </w:numPr>
        <w:spacing w:before="120"/>
        <w:jc w:val="both"/>
        <w:rPr>
          <w:rFonts w:asciiTheme="majorHAnsi" w:eastAsiaTheme="majorEastAsia" w:hAnsiTheme="majorHAnsi" w:cstheme="majorHAnsi"/>
          <w:sz w:val="22"/>
          <w:szCs w:val="22"/>
        </w:rPr>
      </w:pPr>
      <w:r w:rsidRPr="00602948">
        <w:rPr>
          <w:rFonts w:asciiTheme="majorHAnsi" w:eastAsia="Calibri" w:hAnsiTheme="majorHAnsi" w:cstheme="majorHAnsi"/>
          <w:sz w:val="22"/>
          <w:szCs w:val="22"/>
          <w:lang w:bidi="en-GB"/>
        </w:rPr>
        <w:t>thus recognising the expenses as costs to be settled for the purposes of income tax or deducts these expenses or revenues from income, tax base or tax in any form, or</w:t>
      </w:r>
    </w:p>
    <w:p w14:paraId="4D804591" w14:textId="14CEB865" w:rsidR="248A38BD" w:rsidRPr="00602948" w:rsidRDefault="248A38BD" w:rsidP="00D662B1">
      <w:pPr>
        <w:pStyle w:val="Akapitzlist"/>
        <w:numPr>
          <w:ilvl w:val="1"/>
          <w:numId w:val="15"/>
        </w:numPr>
        <w:spacing w:before="120"/>
        <w:jc w:val="both"/>
        <w:rPr>
          <w:rFonts w:asciiTheme="majorHAnsi" w:eastAsiaTheme="majorEastAsia" w:hAnsiTheme="majorHAnsi" w:cstheme="majorHAnsi"/>
          <w:sz w:val="22"/>
          <w:szCs w:val="22"/>
        </w:rPr>
      </w:pPr>
      <w:r w:rsidRPr="00602948">
        <w:rPr>
          <w:rFonts w:asciiTheme="majorHAnsi" w:eastAsiaTheme="majorEastAsia" w:hAnsiTheme="majorHAnsi" w:cstheme="majorHAnsi"/>
          <w:sz w:val="22"/>
          <w:szCs w:val="22"/>
          <w:lang w:bidi="en-GB"/>
        </w:rPr>
        <w:t>if these revenues make up the profit intended to be paid, regardless of the date, in the form of dividends or other revenues from share in profits of legal persons;</w:t>
      </w:r>
    </w:p>
    <w:p w14:paraId="4F7B5D81" w14:textId="163B7CB8" w:rsidR="248A38BD" w:rsidRPr="00833DE0" w:rsidRDefault="248A38BD" w:rsidP="00D662B1">
      <w:pPr>
        <w:pStyle w:val="Akapitzlist"/>
        <w:numPr>
          <w:ilvl w:val="0"/>
          <w:numId w:val="15"/>
        </w:numPr>
        <w:jc w:val="both"/>
        <w:rPr>
          <w:rFonts w:asciiTheme="majorHAnsi" w:eastAsiaTheme="majorEastAsia" w:hAnsiTheme="majorHAnsi" w:cstheme="majorBidi"/>
        </w:rPr>
      </w:pPr>
      <w:r w:rsidRPr="00D662B1">
        <w:rPr>
          <w:rFonts w:asciiTheme="majorHAnsi" w:eastAsiaTheme="majorEastAsia" w:hAnsiTheme="majorHAnsi" w:cstheme="majorBidi"/>
          <w:b/>
          <w:sz w:val="22"/>
          <w:szCs w:val="22"/>
          <w:lang w:bidi="en-GB"/>
        </w:rPr>
        <w:t>the sum of the passed-on costs defined below incurred by the taxpayer in a tax year for the benefit of entities related with the taxpayer within the meaning of the CIT Act, recognised in the tax year as tax deductible costs of the taxpayer, constitutes at least 3% of tax deductible costs of the taxpayer for the year.</w:t>
      </w:r>
    </w:p>
    <w:p w14:paraId="54CD34F7" w14:textId="5A7C9C7F" w:rsidR="11D8C0B8" w:rsidRPr="00833DE0" w:rsidRDefault="11D8C0B8" w:rsidP="00D662B1">
      <w:pPr>
        <w:jc w:val="both"/>
        <w:rPr>
          <w:rFonts w:asciiTheme="majorHAnsi" w:eastAsiaTheme="majorEastAsia" w:hAnsiTheme="majorHAnsi" w:cstheme="majorBidi"/>
        </w:rPr>
      </w:pPr>
      <w:r w:rsidRPr="2C985BC1">
        <w:rPr>
          <w:rFonts w:asciiTheme="majorHAnsi" w:eastAsiaTheme="majorEastAsia" w:hAnsiTheme="majorHAnsi" w:cstheme="majorBidi"/>
          <w:lang w:bidi="en-GB"/>
        </w:rPr>
        <w:t xml:space="preserve">The burden of proof that at least one of the conditions listed above is not met lies with the company which recognises the costs determined below as passed-on costs as tax deductible costs. </w:t>
      </w:r>
      <w:r w:rsidRPr="2C985BC1">
        <w:rPr>
          <w:rFonts w:asciiTheme="majorHAnsi" w:eastAsiaTheme="majorEastAsia" w:hAnsiTheme="majorHAnsi" w:cstheme="majorBidi"/>
          <w:b/>
          <w:lang w:bidi="en-GB"/>
        </w:rPr>
        <w:t>In practice, it is the easiest for majority of taxpayers to document the fulfilment of the last condition, i.e. not exceeding 3% of the passed-on costs (definition below) in total tax deductible costs.</w:t>
      </w:r>
    </w:p>
    <w:p w14:paraId="1F3F7C41" w14:textId="77777777" w:rsidR="00D662B1" w:rsidRDefault="00D662B1" w:rsidP="00AF7E50">
      <w:pPr>
        <w:suppressAutoHyphens w:val="0"/>
        <w:autoSpaceDN/>
        <w:spacing w:before="120" w:after="0" w:line="240" w:lineRule="auto"/>
        <w:jc w:val="both"/>
        <w:textAlignment w:val="auto"/>
        <w:rPr>
          <w:rFonts w:asciiTheme="majorHAnsi" w:hAnsiTheme="majorHAnsi" w:cstheme="majorHAnsi"/>
          <w:b/>
          <w:bCs/>
        </w:rPr>
      </w:pPr>
    </w:p>
    <w:p w14:paraId="375DF39C" w14:textId="77777777" w:rsidR="00D662B1" w:rsidRDefault="00D662B1" w:rsidP="00AF7E50">
      <w:pPr>
        <w:suppressAutoHyphens w:val="0"/>
        <w:autoSpaceDN/>
        <w:spacing w:before="120" w:after="0" w:line="240" w:lineRule="auto"/>
        <w:jc w:val="both"/>
        <w:textAlignment w:val="auto"/>
        <w:rPr>
          <w:rFonts w:asciiTheme="majorHAnsi" w:hAnsiTheme="majorHAnsi" w:cstheme="majorHAnsi"/>
          <w:b/>
          <w:bCs/>
        </w:rPr>
      </w:pPr>
    </w:p>
    <w:p w14:paraId="3131B861" w14:textId="618E9E5B" w:rsidR="00AF7E50" w:rsidRPr="00170DCB" w:rsidRDefault="00AF7E50" w:rsidP="00AF7E50">
      <w:pPr>
        <w:suppressAutoHyphens w:val="0"/>
        <w:autoSpaceDN/>
        <w:spacing w:before="120" w:after="0" w:line="240" w:lineRule="auto"/>
        <w:jc w:val="both"/>
        <w:textAlignment w:val="auto"/>
        <w:rPr>
          <w:rFonts w:asciiTheme="majorHAnsi" w:hAnsiTheme="majorHAnsi" w:cstheme="majorHAnsi"/>
        </w:rPr>
      </w:pPr>
      <w:r w:rsidRPr="00170DCB">
        <w:rPr>
          <w:rFonts w:asciiTheme="majorHAnsi" w:hAnsiTheme="majorHAnsi" w:cstheme="majorHAnsi"/>
          <w:b/>
          <w:lang w:bidi="en-GB"/>
        </w:rPr>
        <w:t>Passed-on costs include:</w:t>
      </w:r>
    </w:p>
    <w:p w14:paraId="454CAD14" w14:textId="3D67C5CE" w:rsidR="00AF7E50" w:rsidRPr="00170DCB" w:rsidRDefault="00293B27">
      <w:pPr>
        <w:pStyle w:val="Akapitzlist"/>
        <w:numPr>
          <w:ilvl w:val="0"/>
          <w:numId w:val="7"/>
        </w:numPr>
        <w:jc w:val="both"/>
        <w:rPr>
          <w:rFonts w:asciiTheme="majorHAnsi" w:hAnsiTheme="majorHAnsi" w:cstheme="majorHAnsi"/>
          <w:sz w:val="22"/>
          <w:szCs w:val="22"/>
        </w:rPr>
      </w:pPr>
      <w:r w:rsidRPr="00170DCB">
        <w:rPr>
          <w:rFonts w:asciiTheme="majorHAnsi" w:hAnsiTheme="majorHAnsi" w:cstheme="majorHAnsi"/>
          <w:sz w:val="22"/>
          <w:szCs w:val="22"/>
          <w:lang w:bidi="en-GB"/>
        </w:rPr>
        <w:t>costs of advisory, market research, advertising, management, control and data processing services, insurance, guarantees and sureties as well as services of a similar nature,</w:t>
      </w:r>
    </w:p>
    <w:p w14:paraId="174CEC3A" w14:textId="2314DAD3" w:rsidR="00AF7E50" w:rsidRPr="00170DCB" w:rsidRDefault="00293B27">
      <w:pPr>
        <w:pStyle w:val="Akapitzlist"/>
        <w:numPr>
          <w:ilvl w:val="0"/>
          <w:numId w:val="7"/>
        </w:numPr>
        <w:jc w:val="both"/>
        <w:rPr>
          <w:rFonts w:asciiTheme="majorHAnsi" w:hAnsiTheme="majorHAnsi" w:cstheme="majorHAnsi"/>
          <w:sz w:val="22"/>
          <w:szCs w:val="22"/>
        </w:rPr>
      </w:pPr>
      <w:r w:rsidRPr="00170DCB">
        <w:rPr>
          <w:rFonts w:asciiTheme="majorHAnsi" w:hAnsiTheme="majorHAnsi" w:cstheme="majorHAnsi"/>
          <w:sz w:val="22"/>
          <w:szCs w:val="22"/>
          <w:lang w:bidi="en-GB"/>
        </w:rPr>
        <w:t>costs of any types of charges and receivables for using or the right to use rights or assets referred to in Article 16b(1)(4-7) (intangible assets),</w:t>
      </w:r>
    </w:p>
    <w:p w14:paraId="11CACD9C" w14:textId="46BA4DB9" w:rsidR="00AF7E50" w:rsidRPr="00170DCB" w:rsidRDefault="00293B27">
      <w:pPr>
        <w:pStyle w:val="Akapitzlist"/>
        <w:numPr>
          <w:ilvl w:val="0"/>
          <w:numId w:val="7"/>
        </w:numPr>
        <w:jc w:val="both"/>
        <w:rPr>
          <w:rFonts w:asciiTheme="majorHAnsi" w:hAnsiTheme="majorHAnsi" w:cstheme="majorHAnsi"/>
          <w:sz w:val="22"/>
          <w:szCs w:val="22"/>
        </w:rPr>
      </w:pPr>
      <w:r w:rsidRPr="00170DCB">
        <w:rPr>
          <w:rFonts w:asciiTheme="majorHAnsi" w:hAnsiTheme="majorHAnsi" w:cstheme="majorHAnsi"/>
          <w:sz w:val="22"/>
          <w:szCs w:val="22"/>
          <w:lang w:bidi="en-GB"/>
        </w:rPr>
        <w:t>costs of the transfer of the debtor’s insolvency risk related to loans other than loans granted by banks and credit unions, including within liabilities resulting from derivative financial instruments and performances of a similar nature,</w:t>
      </w:r>
    </w:p>
    <w:p w14:paraId="075E2132" w14:textId="77777777" w:rsidR="00AF7E50" w:rsidRPr="00170DCB" w:rsidRDefault="00AF7E50">
      <w:pPr>
        <w:pStyle w:val="Akapitzlist"/>
        <w:numPr>
          <w:ilvl w:val="0"/>
          <w:numId w:val="7"/>
        </w:numPr>
        <w:jc w:val="both"/>
        <w:rPr>
          <w:rFonts w:asciiTheme="majorHAnsi" w:hAnsiTheme="majorHAnsi" w:cstheme="majorHAnsi"/>
          <w:sz w:val="22"/>
          <w:szCs w:val="22"/>
        </w:rPr>
      </w:pPr>
      <w:r w:rsidRPr="00170DCB">
        <w:rPr>
          <w:rFonts w:asciiTheme="majorHAnsi" w:hAnsiTheme="majorHAnsi" w:cstheme="majorHAnsi"/>
          <w:sz w:val="22"/>
          <w:szCs w:val="22"/>
          <w:lang w:bidi="en-GB"/>
        </w:rPr>
        <w:t>costs of debt financing related to obtaining and using funds, in particular interest, fees, commission, bonuses, interest part of the lease instalment, penalties and fees for delay in payment of liabilities and costs of securing liabilities, including costs of derivative financial instruments,</w:t>
      </w:r>
    </w:p>
    <w:p w14:paraId="5501CAD0" w14:textId="06C5E005" w:rsidR="00AF7E50" w:rsidRPr="00170DCB" w:rsidRDefault="00293B27">
      <w:pPr>
        <w:pStyle w:val="Akapitzlist"/>
        <w:numPr>
          <w:ilvl w:val="0"/>
          <w:numId w:val="7"/>
        </w:numPr>
        <w:jc w:val="both"/>
        <w:rPr>
          <w:rFonts w:asciiTheme="majorHAnsi" w:hAnsiTheme="majorHAnsi" w:cstheme="majorBidi"/>
          <w:sz w:val="22"/>
          <w:szCs w:val="22"/>
        </w:rPr>
      </w:pPr>
      <w:r w:rsidRPr="2C985BC1">
        <w:rPr>
          <w:rFonts w:asciiTheme="majorHAnsi" w:hAnsiTheme="majorHAnsi" w:cstheme="majorBidi"/>
          <w:sz w:val="22"/>
          <w:szCs w:val="22"/>
          <w:lang w:bidi="en-GB"/>
        </w:rPr>
        <w:t>costs of fees and remunerations for the transfer of functions, assets or risks.</w:t>
      </w:r>
    </w:p>
    <w:p w14:paraId="4F62F939" w14:textId="457E1372" w:rsidR="0B6154A7" w:rsidRDefault="0B6154A7" w:rsidP="2C985BC1">
      <w:pPr>
        <w:spacing w:before="120" w:after="0" w:line="240" w:lineRule="auto"/>
        <w:jc w:val="both"/>
        <w:rPr>
          <w:rFonts w:asciiTheme="majorHAnsi" w:hAnsiTheme="majorHAnsi" w:cstheme="majorBidi"/>
        </w:rPr>
      </w:pPr>
      <w:r w:rsidRPr="00882BD4">
        <w:rPr>
          <w:rFonts w:asciiTheme="majorHAnsi" w:hAnsiTheme="majorHAnsi" w:cstheme="majorBidi"/>
          <w:b/>
          <w:lang w:bidi="en-GB"/>
        </w:rPr>
        <w:t>The tax on passed-on income amounts to 19% of the tax base.</w:t>
      </w:r>
      <w:r w:rsidRPr="00882BD4">
        <w:rPr>
          <w:rFonts w:asciiTheme="majorHAnsi" w:hAnsiTheme="majorHAnsi" w:cstheme="majorBidi"/>
          <w:lang w:bidi="en-GB"/>
        </w:rPr>
        <w:t xml:space="preserve"> The tax on passed-on income is reduced by the amount of the flat-rate income tax referred to in Article 21 of the CIT Act, collected from distributions on account of the costs included in the tax base, under the conditions specified in the CIT Act.</w:t>
      </w:r>
    </w:p>
    <w:p w14:paraId="2C026ABE" w14:textId="279AB4BE" w:rsidR="7780F407" w:rsidRDefault="7780F407" w:rsidP="00833DE0">
      <w:pPr>
        <w:spacing w:before="120" w:after="0" w:line="240" w:lineRule="auto"/>
        <w:jc w:val="both"/>
        <w:rPr>
          <w:rFonts w:asciiTheme="majorHAnsi" w:hAnsiTheme="majorHAnsi" w:cstheme="majorBidi"/>
        </w:rPr>
      </w:pPr>
      <w:r w:rsidRPr="2C985BC1">
        <w:rPr>
          <w:rFonts w:asciiTheme="majorHAnsi" w:hAnsiTheme="majorHAnsi" w:cstheme="majorBidi"/>
          <w:lang w:bidi="en-GB"/>
        </w:rPr>
        <w:t>The tax base for the passed-on income tax is the sum of the income passed on in a tax year, and in the case of a tax capital group – the sum of the income passed on in a tax year of the companies forming the group.</w:t>
      </w:r>
    </w:p>
    <w:p w14:paraId="5AE49A33" w14:textId="085BE38F" w:rsidR="7780F407" w:rsidRDefault="7780F407" w:rsidP="2C985BC1">
      <w:pPr>
        <w:spacing w:before="120" w:after="0" w:line="240" w:lineRule="auto"/>
        <w:jc w:val="both"/>
        <w:rPr>
          <w:rFonts w:asciiTheme="majorHAnsi" w:hAnsiTheme="majorHAnsi" w:cstheme="majorBidi"/>
        </w:rPr>
      </w:pPr>
      <w:r w:rsidRPr="2C985BC1">
        <w:rPr>
          <w:rFonts w:asciiTheme="majorHAnsi" w:hAnsiTheme="majorHAnsi" w:cstheme="majorBidi"/>
          <w:lang w:bidi="en-GB"/>
        </w:rPr>
        <w:lastRenderedPageBreak/>
        <w:t xml:space="preserve">The taxpayer of the passed-on income tax is the company, and in the case of a tax capital group </w:t>
      </w:r>
      <w:r w:rsidR="00160AD3">
        <w:rPr>
          <w:rFonts w:asciiTheme="majorHAnsi" w:hAnsiTheme="majorHAnsi" w:cstheme="majorBidi"/>
          <w:lang w:bidi="en-GB"/>
        </w:rPr>
        <w:t>–</w:t>
      </w:r>
      <w:r w:rsidRPr="2C985BC1">
        <w:rPr>
          <w:rFonts w:asciiTheme="majorHAnsi" w:hAnsiTheme="majorHAnsi" w:cstheme="majorBidi"/>
          <w:lang w:bidi="en-GB"/>
        </w:rPr>
        <w:t xml:space="preserve"> this group.</w:t>
      </w:r>
    </w:p>
    <w:p w14:paraId="138C047F" w14:textId="77777777" w:rsidR="00F1765C" w:rsidRDefault="40EF6726" w:rsidP="00322701">
      <w:pPr>
        <w:suppressAutoHyphens w:val="0"/>
        <w:autoSpaceDN/>
        <w:spacing w:before="120" w:after="0" w:line="240" w:lineRule="auto"/>
        <w:jc w:val="both"/>
        <w:textAlignment w:val="auto"/>
        <w:rPr>
          <w:rFonts w:asciiTheme="majorHAnsi" w:hAnsiTheme="majorHAnsi" w:cstheme="majorBidi"/>
          <w:b/>
          <w:lang w:bidi="en-GB"/>
        </w:rPr>
      </w:pPr>
      <w:r w:rsidRPr="00882BD4">
        <w:rPr>
          <w:rFonts w:asciiTheme="majorHAnsi" w:hAnsiTheme="majorHAnsi" w:cstheme="majorBidi"/>
          <w:b/>
          <w:lang w:bidi="en-GB"/>
        </w:rPr>
        <w:t>Taxpayers of the passed-on income tax are obliged to calculate this tax for a tax year in the annual return (CIT-8) and pay it to the tax office at the time of filing this return. This means that the TPI will be shown for the first time in CIT-8 return, which will be submitted in 2023 for 2022.</w:t>
      </w:r>
    </w:p>
    <w:p w14:paraId="515B4599" w14:textId="60CF80C6" w:rsidR="00322701" w:rsidRPr="00170DCB" w:rsidRDefault="00322701" w:rsidP="00322701">
      <w:pPr>
        <w:suppressAutoHyphens w:val="0"/>
        <w:autoSpaceDN/>
        <w:spacing w:before="120" w:after="0" w:line="240" w:lineRule="auto"/>
        <w:jc w:val="both"/>
        <w:textAlignment w:val="auto"/>
        <w:rPr>
          <w:rFonts w:asciiTheme="majorHAnsi" w:hAnsiTheme="majorHAnsi" w:cstheme="majorHAnsi"/>
          <w:b/>
          <w:bCs/>
        </w:rPr>
      </w:pPr>
      <w:r w:rsidRPr="00170DCB">
        <w:rPr>
          <w:rFonts w:asciiTheme="majorHAnsi" w:hAnsiTheme="majorHAnsi" w:cstheme="majorHAnsi"/>
          <w:b/>
          <w:lang w:bidi="en-GB"/>
        </w:rPr>
        <w:t>The TPI regulations do not apply to the extent that the passed-on costs were incurred for the benefit of the related entity subject to taxation from the entirety of its income in the European Union or the European Economic Area member state and conducting significant real business activity in that state.</w:t>
      </w:r>
    </w:p>
    <w:p w14:paraId="21E76B86" w14:textId="58AB23BE" w:rsidR="00322701" w:rsidRPr="00170DCB" w:rsidRDefault="00322701" w:rsidP="00322701">
      <w:pPr>
        <w:suppressAutoHyphens w:val="0"/>
        <w:autoSpaceDN/>
        <w:spacing w:before="120" w:after="0" w:line="240" w:lineRule="auto"/>
        <w:jc w:val="both"/>
        <w:textAlignment w:val="auto"/>
        <w:rPr>
          <w:rFonts w:asciiTheme="majorHAnsi" w:hAnsiTheme="majorHAnsi" w:cstheme="majorHAnsi"/>
        </w:rPr>
      </w:pPr>
      <w:r w:rsidRPr="00170DCB">
        <w:rPr>
          <w:rFonts w:asciiTheme="majorHAnsi" w:hAnsiTheme="majorHAnsi" w:cstheme="majorHAnsi"/>
          <w:lang w:bidi="en-GB"/>
        </w:rPr>
        <w:t>When assessing whether the related entity conducts real business activity, the following aspects are in particular taken into account:</w:t>
      </w:r>
    </w:p>
    <w:p w14:paraId="6C684A7E" w14:textId="77777777" w:rsidR="00322701" w:rsidRPr="00170DCB" w:rsidRDefault="00322701">
      <w:pPr>
        <w:pStyle w:val="Akapitzlist"/>
        <w:numPr>
          <w:ilvl w:val="0"/>
          <w:numId w:val="8"/>
        </w:numPr>
        <w:jc w:val="both"/>
        <w:rPr>
          <w:rFonts w:asciiTheme="majorHAnsi" w:hAnsiTheme="majorHAnsi" w:cstheme="majorHAnsi"/>
          <w:sz w:val="22"/>
          <w:szCs w:val="22"/>
        </w:rPr>
      </w:pPr>
      <w:r w:rsidRPr="00170DCB">
        <w:rPr>
          <w:rFonts w:asciiTheme="majorHAnsi" w:hAnsiTheme="majorHAnsi" w:cstheme="majorHAnsi"/>
          <w:sz w:val="22"/>
          <w:szCs w:val="22"/>
          <w:lang w:bidi="en-GB"/>
        </w:rPr>
        <w:t>whether the registration of the entity is connected with the existence of a company within which it actually performs activities constituting business activity, including whether the entity has premises, qualified personnel and equipment used in its business activity;</w:t>
      </w:r>
    </w:p>
    <w:p w14:paraId="586706AA" w14:textId="77777777" w:rsidR="00322701" w:rsidRPr="00170DCB" w:rsidRDefault="00322701">
      <w:pPr>
        <w:pStyle w:val="Akapitzlist"/>
        <w:numPr>
          <w:ilvl w:val="0"/>
          <w:numId w:val="8"/>
        </w:numPr>
        <w:jc w:val="both"/>
        <w:rPr>
          <w:rFonts w:asciiTheme="majorHAnsi" w:hAnsiTheme="majorHAnsi" w:cstheme="majorHAnsi"/>
          <w:sz w:val="22"/>
          <w:szCs w:val="22"/>
        </w:rPr>
      </w:pPr>
      <w:r w:rsidRPr="00170DCB">
        <w:rPr>
          <w:rFonts w:asciiTheme="majorHAnsi" w:hAnsiTheme="majorHAnsi" w:cstheme="majorHAnsi"/>
          <w:sz w:val="22"/>
          <w:szCs w:val="22"/>
          <w:lang w:bidi="en-GB"/>
        </w:rPr>
        <w:t>whether the entity has the possibility to take decisions on the purpose of the receivable received;</w:t>
      </w:r>
    </w:p>
    <w:p w14:paraId="3958C615" w14:textId="69A77601" w:rsidR="00322701" w:rsidRPr="00170DCB" w:rsidRDefault="00322701">
      <w:pPr>
        <w:pStyle w:val="Akapitzlist"/>
        <w:numPr>
          <w:ilvl w:val="0"/>
          <w:numId w:val="8"/>
        </w:numPr>
        <w:jc w:val="both"/>
        <w:rPr>
          <w:rFonts w:asciiTheme="majorHAnsi" w:hAnsiTheme="majorHAnsi" w:cstheme="majorHAnsi"/>
          <w:sz w:val="22"/>
          <w:szCs w:val="22"/>
        </w:rPr>
      </w:pPr>
      <w:r w:rsidRPr="00170DCB">
        <w:rPr>
          <w:rFonts w:asciiTheme="majorHAnsi" w:hAnsiTheme="majorHAnsi" w:cstheme="majorHAnsi"/>
          <w:sz w:val="22"/>
          <w:szCs w:val="22"/>
          <w:lang w:bidi="en-GB"/>
        </w:rPr>
        <w:t>whether the entity bears the economic risk related to the loss of given receivables.</w:t>
      </w:r>
    </w:p>
    <w:p w14:paraId="33C563D3" w14:textId="79F8649D" w:rsidR="00A12247" w:rsidRDefault="00322701" w:rsidP="00322701">
      <w:pPr>
        <w:suppressAutoHyphens w:val="0"/>
        <w:autoSpaceDN/>
        <w:spacing w:before="120" w:after="0" w:line="240" w:lineRule="auto"/>
        <w:jc w:val="both"/>
        <w:textAlignment w:val="auto"/>
        <w:rPr>
          <w:rFonts w:asciiTheme="majorHAnsi" w:hAnsiTheme="majorHAnsi" w:cstheme="majorBidi"/>
        </w:rPr>
      </w:pPr>
      <w:r w:rsidRPr="2C985BC1">
        <w:rPr>
          <w:rFonts w:asciiTheme="majorHAnsi" w:hAnsiTheme="majorHAnsi" w:cstheme="majorBidi"/>
          <w:lang w:bidi="en-GB"/>
        </w:rPr>
        <w:t>When assessing whether the real business activity is significant, the ratio of revenue earned by the related entity from the actual business activity conducted to its total revenue is taken into account.</w:t>
      </w:r>
    </w:p>
    <w:p w14:paraId="5DDFF514" w14:textId="77777777" w:rsidR="00EF0757" w:rsidRPr="00133E6D" w:rsidRDefault="00EF0757" w:rsidP="00133E6D">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4604D3" w:rsidRPr="00170DCB" w14:paraId="21CBB27E" w14:textId="77777777" w:rsidTr="004604D3">
        <w:tc>
          <w:tcPr>
            <w:tcW w:w="10211" w:type="dxa"/>
            <w:shd w:val="clear" w:color="auto" w:fill="444854"/>
          </w:tcPr>
          <w:p w14:paraId="0E95BEF7" w14:textId="20B4EAE4" w:rsidR="004604D3" w:rsidRPr="00170DCB" w:rsidRDefault="00032389" w:rsidP="004604D3">
            <w:pPr>
              <w:pStyle w:val="Styl1"/>
              <w:spacing w:before="120" w:after="120"/>
              <w:ind w:left="357" w:hanging="357"/>
              <w:rPr>
                <w:rFonts w:asciiTheme="majorHAnsi" w:hAnsiTheme="majorHAnsi" w:cstheme="majorBidi"/>
                <w:color w:val="EFC812"/>
              </w:rPr>
            </w:pPr>
            <w:bookmarkStart w:id="5" w:name="_Toc128041981"/>
            <w:r w:rsidRPr="79E03DEC">
              <w:rPr>
                <w:rFonts w:asciiTheme="majorHAnsi" w:hAnsiTheme="majorHAnsi" w:cstheme="majorBidi"/>
                <w:color w:val="EFC812"/>
                <w:lang w:bidi="en-GB"/>
              </w:rPr>
              <w:t>Lump sum tax on income in companies [ESTONIAN CIT]</w:t>
            </w:r>
            <w:bookmarkEnd w:id="5"/>
          </w:p>
        </w:tc>
      </w:tr>
    </w:tbl>
    <w:bookmarkEnd w:id="0"/>
    <w:p w14:paraId="3FC45916" w14:textId="79D57B19" w:rsidR="00276548" w:rsidRDefault="0076753F" w:rsidP="00CA0BCF">
      <w:pPr>
        <w:suppressAutoHyphens w:val="0"/>
        <w:autoSpaceDN/>
        <w:spacing w:before="120" w:after="0" w:line="240" w:lineRule="auto"/>
        <w:jc w:val="both"/>
        <w:textAlignment w:val="auto"/>
        <w:rPr>
          <w:rFonts w:asciiTheme="majorHAnsi" w:hAnsiTheme="majorHAnsi" w:cstheme="majorHAnsi"/>
        </w:rPr>
      </w:pPr>
      <w:r w:rsidRPr="00170DCB">
        <w:rPr>
          <w:rFonts w:asciiTheme="majorHAnsi" w:hAnsiTheme="majorHAnsi" w:cstheme="majorHAnsi"/>
          <w:b/>
          <w:lang w:bidi="en-GB"/>
        </w:rPr>
        <w:t>The lump sum on income of companies (hereinafter referred to as the “lump sum tax”), i.e. the so-called Estonian CIT</w:t>
      </w:r>
      <w:r w:rsidRPr="00170DCB">
        <w:rPr>
          <w:rFonts w:asciiTheme="majorHAnsi" w:hAnsiTheme="majorHAnsi" w:cstheme="majorHAnsi"/>
          <w:lang w:bidi="en-GB"/>
        </w:rPr>
        <w:t>, is a voluntary and alternative way of taxation with corporate income tax in relation to the classic CIT and was introduced in 2021, but very few taxpayers applied this form of taxation. Amendments to the regulations are intended to encourage a wider range of taxpayers to choose the Estonian CIT.</w:t>
      </w:r>
    </w:p>
    <w:p w14:paraId="5E6F5761" w14:textId="78F3E116" w:rsidR="00F3301D" w:rsidRPr="00170DCB" w:rsidRDefault="00697EA9" w:rsidP="00CA0BCF">
      <w:pPr>
        <w:suppressAutoHyphens w:val="0"/>
        <w:autoSpaceDN/>
        <w:spacing w:before="120" w:after="0" w:line="240" w:lineRule="auto"/>
        <w:jc w:val="both"/>
        <w:textAlignment w:val="auto"/>
        <w:rPr>
          <w:rFonts w:asciiTheme="majorHAnsi" w:hAnsiTheme="majorHAnsi" w:cstheme="majorHAnsi"/>
        </w:rPr>
      </w:pPr>
      <w:r w:rsidRPr="2C985BC1">
        <w:rPr>
          <w:rFonts w:asciiTheme="majorHAnsi" w:hAnsiTheme="majorHAnsi" w:cstheme="majorBidi"/>
          <w:lang w:bidi="en-GB"/>
        </w:rPr>
        <w:t>The taxpayers eligible for CIT-LS are those defined in Article 3(1) of the CIT Act, meaning taxpayers with the registered office or management board in the territory of the Republic of Poland and with their entire income liable to taxation irrespective of the income generation location.</w:t>
      </w:r>
    </w:p>
    <w:p w14:paraId="08EDA69C" w14:textId="0449CC20" w:rsidR="00F3301D" w:rsidRPr="00170DCB" w:rsidRDefault="13EDACA4" w:rsidP="2C985BC1">
      <w:pPr>
        <w:suppressAutoHyphens w:val="0"/>
        <w:autoSpaceDN/>
        <w:spacing w:before="120" w:after="0" w:line="240" w:lineRule="auto"/>
        <w:jc w:val="both"/>
        <w:textAlignment w:val="auto"/>
        <w:rPr>
          <w:rFonts w:asciiTheme="majorHAnsi" w:hAnsiTheme="majorHAnsi" w:cstheme="majorBidi"/>
        </w:rPr>
      </w:pPr>
      <w:r w:rsidRPr="2C985BC1">
        <w:rPr>
          <w:rFonts w:asciiTheme="majorHAnsi" w:hAnsiTheme="majorHAnsi" w:cstheme="majorBidi"/>
          <w:lang w:bidi="en-GB"/>
        </w:rPr>
        <w:t xml:space="preserve">We wrote more about the lump sum on company income in a </w:t>
      </w:r>
      <w:hyperlink r:id="rId15" w:history="1">
        <w:r w:rsidR="00AB6567" w:rsidRPr="00AB6567">
          <w:rPr>
            <w:rStyle w:val="Hipercze"/>
            <w:rFonts w:asciiTheme="majorHAnsi" w:hAnsiTheme="majorHAnsi" w:cstheme="majorBidi"/>
            <w:lang w:bidi="en-GB"/>
          </w:rPr>
          <w:t>brochure concerning changes in taxes for 2022</w:t>
        </w:r>
      </w:hyperlink>
      <w:r w:rsidRPr="2C985BC1">
        <w:rPr>
          <w:rFonts w:asciiTheme="majorHAnsi" w:hAnsiTheme="majorHAnsi" w:cstheme="majorBidi"/>
          <w:lang w:bidi="en-GB"/>
        </w:rPr>
        <w:t>.</w:t>
      </w:r>
    </w:p>
    <w:p w14:paraId="532BFA13" w14:textId="752C0A1D" w:rsidR="00F3301D" w:rsidRPr="00170DCB" w:rsidRDefault="48FFCCCC" w:rsidP="2C985BC1">
      <w:pPr>
        <w:suppressAutoHyphens w:val="0"/>
        <w:autoSpaceDN/>
        <w:spacing w:before="120" w:after="0" w:line="240" w:lineRule="auto"/>
        <w:jc w:val="both"/>
        <w:textAlignment w:val="auto"/>
        <w:rPr>
          <w:rFonts w:asciiTheme="majorHAnsi" w:hAnsiTheme="majorHAnsi" w:cstheme="majorBidi"/>
        </w:rPr>
      </w:pPr>
      <w:r w:rsidRPr="2C985BC1">
        <w:rPr>
          <w:rFonts w:asciiTheme="majorHAnsi" w:hAnsiTheme="majorHAnsi" w:cstheme="majorBidi"/>
          <w:lang w:bidi="en-GB"/>
        </w:rPr>
        <w:t>By the amendment of the Act of 7 October 2022 amending the Corporate Income Tax Act and certain other acts, the legislator introduced a number of amendments to the provisions concerning the lump sum tax on company income applicable from 1 January 2023, which are presented below.</w:t>
      </w:r>
    </w:p>
    <w:p w14:paraId="6CAB1ED4" w14:textId="3A0A41C7" w:rsidR="00F3301D" w:rsidRPr="0022719D" w:rsidRDefault="2B64BA0A">
      <w:pPr>
        <w:pStyle w:val="Akapitzlist"/>
        <w:numPr>
          <w:ilvl w:val="0"/>
          <w:numId w:val="14"/>
        </w:numPr>
        <w:spacing w:before="120"/>
        <w:jc w:val="both"/>
        <w:rPr>
          <w:rFonts w:asciiTheme="majorHAnsi" w:hAnsiTheme="majorHAnsi" w:cstheme="majorBidi"/>
        </w:rPr>
      </w:pPr>
      <w:r w:rsidRPr="002303D1">
        <w:rPr>
          <w:rFonts w:asciiTheme="majorHAnsi" w:hAnsiTheme="majorHAnsi" w:cstheme="majorBidi"/>
          <w:sz w:val="22"/>
          <w:szCs w:val="22"/>
          <w:lang w:bidi="en-GB"/>
        </w:rPr>
        <w:t>Remuneration condition</w:t>
      </w:r>
    </w:p>
    <w:p w14:paraId="0B20FC29" w14:textId="3FA39573" w:rsidR="00F3301D" w:rsidRPr="00170DCB" w:rsidRDefault="5C3580DB" w:rsidP="00AB6567">
      <w:pPr>
        <w:suppressAutoHyphens w:val="0"/>
        <w:autoSpaceDN/>
        <w:spacing w:before="120" w:after="0" w:line="240" w:lineRule="auto"/>
        <w:ind w:left="709"/>
        <w:jc w:val="both"/>
        <w:textAlignment w:val="auto"/>
        <w:rPr>
          <w:rFonts w:asciiTheme="majorHAnsi" w:hAnsiTheme="majorHAnsi" w:cstheme="majorBidi"/>
        </w:rPr>
      </w:pPr>
      <w:r w:rsidRPr="2C985BC1">
        <w:rPr>
          <w:rFonts w:asciiTheme="majorHAnsi" w:hAnsiTheme="majorHAnsi" w:cstheme="majorBidi"/>
          <w:lang w:bidi="en-GB"/>
        </w:rPr>
        <w:t>One of the conditions entitling to taxation on a lump sum basis was modified, that is, the condition concerning incurring expenses on account of remuneration, which states that the taxpayer bears monthly expenses in the amount constituting at least three times the average monthly remuneration in the enterprise sector due to the payment of remuneration to at least 3 natural persons employed on the basis of a contract other than an employment contract, who are not shareholders or partners of that taxpayer if, in connection with the payment of such remuneration, the taxpayer is a remitter of personal income tax or the remitter of the contributions specified in the Act of 13 October 1998 on the social security system or the Act of 27 August 2004 on healthcare benefits financed from public funds;</w:t>
      </w:r>
    </w:p>
    <w:p w14:paraId="5637AE98" w14:textId="31E3DEA9" w:rsidR="00F3301D" w:rsidRPr="0022719D" w:rsidRDefault="6298C156">
      <w:pPr>
        <w:pStyle w:val="Akapitzlist"/>
        <w:numPr>
          <w:ilvl w:val="0"/>
          <w:numId w:val="14"/>
        </w:numPr>
        <w:spacing w:before="120"/>
        <w:jc w:val="both"/>
        <w:rPr>
          <w:rFonts w:asciiTheme="majorHAnsi" w:hAnsiTheme="majorHAnsi" w:cstheme="majorBidi"/>
        </w:rPr>
      </w:pPr>
      <w:r w:rsidRPr="002303D1">
        <w:rPr>
          <w:rFonts w:asciiTheme="majorHAnsi" w:hAnsiTheme="majorHAnsi" w:cstheme="majorBidi"/>
          <w:sz w:val="22"/>
          <w:szCs w:val="22"/>
          <w:lang w:bidi="en-GB"/>
        </w:rPr>
        <w:t>Expiry of the initial adjustment obligation condition</w:t>
      </w:r>
    </w:p>
    <w:p w14:paraId="0E68FA43" w14:textId="77777777" w:rsidR="00F1765C" w:rsidRDefault="3055AFAD" w:rsidP="00AB6567">
      <w:pPr>
        <w:suppressAutoHyphens w:val="0"/>
        <w:autoSpaceDN/>
        <w:spacing w:before="120" w:after="0" w:line="240" w:lineRule="auto"/>
        <w:ind w:left="709"/>
        <w:jc w:val="both"/>
        <w:textAlignment w:val="auto"/>
        <w:rPr>
          <w:rFonts w:asciiTheme="majorHAnsi" w:hAnsiTheme="majorHAnsi" w:cstheme="majorBidi"/>
          <w:lang w:bidi="en-GB"/>
        </w:rPr>
      </w:pPr>
      <w:r w:rsidRPr="2C985BC1">
        <w:rPr>
          <w:rFonts w:asciiTheme="majorHAnsi" w:hAnsiTheme="majorHAnsi" w:cstheme="majorBidi"/>
          <w:lang w:bidi="en-GB"/>
        </w:rPr>
        <w:t>The provision relating to the expiry of the initial adjustment obligation reads as follows:</w:t>
      </w:r>
    </w:p>
    <w:p w14:paraId="35C06E01" w14:textId="61B8ED00" w:rsidR="00F3301D" w:rsidRPr="00170DCB" w:rsidRDefault="010D1AE5" w:rsidP="00AB6567">
      <w:pPr>
        <w:suppressAutoHyphens w:val="0"/>
        <w:autoSpaceDN/>
        <w:spacing w:before="120" w:after="0" w:line="240" w:lineRule="auto"/>
        <w:ind w:left="709"/>
        <w:jc w:val="both"/>
        <w:textAlignment w:val="auto"/>
        <w:rPr>
          <w:rFonts w:asciiTheme="majorHAnsi" w:hAnsiTheme="majorHAnsi" w:cstheme="majorBidi"/>
        </w:rPr>
      </w:pPr>
      <w:r w:rsidRPr="2C985BC1">
        <w:rPr>
          <w:rFonts w:asciiTheme="majorHAnsi" w:hAnsiTheme="majorHAnsi" w:cstheme="majorBidi"/>
          <w:lang w:bidi="en-GB"/>
        </w:rPr>
        <w:t xml:space="preserve">The taxpayer would pay the tax due at the end of the first month following the last year of taxation on a lump sum basis of companies’ income if the taxpayer had applied this taxation for less than four years, where in </w:t>
      </w:r>
      <w:r w:rsidRPr="2C985BC1">
        <w:rPr>
          <w:rFonts w:asciiTheme="majorHAnsi" w:hAnsiTheme="majorHAnsi" w:cstheme="majorBidi"/>
          <w:lang w:bidi="en-GB"/>
        </w:rPr>
        <w:lastRenderedPageBreak/>
        <w:t xml:space="preserve">the case of applying taxation on a lump sum basis of companies’ income for a </w:t>
      </w:r>
      <w:r w:rsidRPr="2C985BC1">
        <w:rPr>
          <w:rFonts w:asciiTheme="majorHAnsi" w:hAnsiTheme="majorHAnsi" w:cstheme="majorBidi"/>
          <w:b/>
          <w:lang w:bidi="en-GB"/>
        </w:rPr>
        <w:t>continuous period of at least four tax years</w:t>
      </w:r>
      <w:r w:rsidRPr="2C985BC1">
        <w:rPr>
          <w:rFonts w:asciiTheme="majorHAnsi" w:hAnsiTheme="majorHAnsi" w:cstheme="majorBidi"/>
          <w:lang w:bidi="en-GB"/>
        </w:rPr>
        <w:t>, the tax liability would fully expire.</w:t>
      </w:r>
    </w:p>
    <w:p w14:paraId="2D2788FB" w14:textId="7ED408A4" w:rsidR="00F3301D" w:rsidRPr="00170DCB" w:rsidRDefault="02C21C9C">
      <w:pPr>
        <w:pStyle w:val="Akapitzlist"/>
        <w:numPr>
          <w:ilvl w:val="0"/>
          <w:numId w:val="14"/>
        </w:numPr>
        <w:spacing w:before="120"/>
        <w:jc w:val="both"/>
        <w:rPr>
          <w:rFonts w:asciiTheme="majorHAnsi" w:hAnsiTheme="majorHAnsi" w:cstheme="majorBidi"/>
        </w:rPr>
      </w:pPr>
      <w:r w:rsidRPr="002303D1">
        <w:rPr>
          <w:rFonts w:asciiTheme="majorHAnsi" w:hAnsiTheme="majorHAnsi" w:cstheme="majorBidi"/>
          <w:sz w:val="22"/>
          <w:szCs w:val="22"/>
          <w:lang w:bidi="en-GB"/>
        </w:rPr>
        <w:t>Time limit for payment of the tax on transformation income</w:t>
      </w:r>
    </w:p>
    <w:p w14:paraId="3125212E" w14:textId="69D6F598" w:rsidR="00F3301D" w:rsidRPr="00170DCB" w:rsidRDefault="4A0AA6E0" w:rsidP="00AB6567">
      <w:pPr>
        <w:suppressAutoHyphens w:val="0"/>
        <w:autoSpaceDN/>
        <w:spacing w:before="120" w:after="0" w:line="240" w:lineRule="auto"/>
        <w:ind w:left="709"/>
        <w:jc w:val="both"/>
        <w:textAlignment w:val="auto"/>
        <w:rPr>
          <w:rFonts w:asciiTheme="majorHAnsi" w:hAnsiTheme="majorHAnsi" w:cstheme="majorBidi"/>
        </w:rPr>
      </w:pPr>
      <w:r w:rsidRPr="2C985BC1">
        <w:rPr>
          <w:rFonts w:asciiTheme="majorHAnsi" w:hAnsiTheme="majorHAnsi" w:cstheme="majorBidi"/>
          <w:lang w:bidi="en-GB"/>
        </w:rPr>
        <w:t>The provision concerning the deadline for payment of the tax on income from transformation has been clarified and the provision reads as follows:</w:t>
      </w:r>
    </w:p>
    <w:p w14:paraId="40A1E19A" w14:textId="3F6E27CA" w:rsidR="00F3301D" w:rsidRPr="00170DCB" w:rsidRDefault="09757A39" w:rsidP="00AB6567">
      <w:pPr>
        <w:suppressAutoHyphens w:val="0"/>
        <w:autoSpaceDN/>
        <w:spacing w:before="120" w:after="0" w:line="240" w:lineRule="auto"/>
        <w:ind w:left="709"/>
        <w:jc w:val="both"/>
        <w:textAlignment w:val="auto"/>
        <w:rPr>
          <w:rFonts w:asciiTheme="majorHAnsi" w:hAnsiTheme="majorHAnsi" w:cstheme="majorBidi"/>
        </w:rPr>
      </w:pPr>
      <w:r w:rsidRPr="2C985BC1">
        <w:rPr>
          <w:rFonts w:asciiTheme="majorHAnsi" w:hAnsiTheme="majorHAnsi" w:cstheme="majorBidi"/>
          <w:lang w:bidi="en-GB"/>
        </w:rPr>
        <w:t>The taxpayer pays the tax due on the income from transformation by the end of the third month of the first year of taxation on a lump sum basis of the companies’ income or in parts within a period of no more than 2 years, counting from the end of the first year of lumps sum taxation on the companies’ income, and the method of settlement adopted is communicated by the taxpayer in the annual CIT return, submitted to the end of the third month of the first year of taxation on a lump sum basis of the companies’ income.</w:t>
      </w:r>
    </w:p>
    <w:p w14:paraId="2094A6FD" w14:textId="503A27A7" w:rsidR="00F3301D" w:rsidRPr="0022719D" w:rsidRDefault="7DA98156">
      <w:pPr>
        <w:pStyle w:val="Akapitzlist"/>
        <w:numPr>
          <w:ilvl w:val="0"/>
          <w:numId w:val="14"/>
        </w:numPr>
        <w:spacing w:before="120"/>
        <w:jc w:val="both"/>
        <w:rPr>
          <w:rFonts w:asciiTheme="majorHAnsi" w:hAnsiTheme="majorHAnsi" w:cstheme="majorBidi"/>
        </w:rPr>
      </w:pPr>
      <w:r w:rsidRPr="002303D1">
        <w:rPr>
          <w:rFonts w:asciiTheme="majorHAnsi" w:hAnsiTheme="majorHAnsi" w:cstheme="majorBidi"/>
          <w:sz w:val="22"/>
          <w:szCs w:val="22"/>
          <w:lang w:bidi="en-GB"/>
        </w:rPr>
        <w:t>Selection of taxation on a lump sum basis of the companies’ income during the tax year</w:t>
      </w:r>
    </w:p>
    <w:p w14:paraId="4B622620" w14:textId="21A03291" w:rsidR="00F3301D" w:rsidRPr="00170DCB" w:rsidRDefault="15C27DC9" w:rsidP="00AB6567">
      <w:pPr>
        <w:suppressAutoHyphens w:val="0"/>
        <w:autoSpaceDN/>
        <w:spacing w:before="120" w:after="0" w:line="240" w:lineRule="auto"/>
        <w:ind w:left="709"/>
        <w:jc w:val="both"/>
        <w:textAlignment w:val="auto"/>
        <w:rPr>
          <w:rFonts w:asciiTheme="majorHAnsi" w:hAnsiTheme="majorHAnsi" w:cstheme="majorBidi"/>
        </w:rPr>
      </w:pPr>
      <w:r w:rsidRPr="2C985BC1">
        <w:rPr>
          <w:rFonts w:asciiTheme="majorHAnsi" w:hAnsiTheme="majorHAnsi" w:cstheme="majorBidi"/>
          <w:lang w:bidi="en-GB"/>
        </w:rPr>
        <w:t>The provision which allows the choice of taxation on a lump sum basis of companies’ income also in the course of the year has been clarified.</w:t>
      </w:r>
    </w:p>
    <w:p w14:paraId="2827E5DC" w14:textId="77777777" w:rsidR="00F1765C" w:rsidRDefault="3A461968" w:rsidP="00AB6567">
      <w:pPr>
        <w:suppressAutoHyphens w:val="0"/>
        <w:autoSpaceDN/>
        <w:spacing w:before="120" w:after="0" w:line="240" w:lineRule="auto"/>
        <w:ind w:left="709"/>
        <w:jc w:val="both"/>
        <w:textAlignment w:val="auto"/>
        <w:rPr>
          <w:rFonts w:asciiTheme="majorHAnsi" w:hAnsiTheme="majorHAnsi" w:cstheme="majorBidi"/>
          <w:lang w:bidi="en-GB"/>
        </w:rPr>
      </w:pPr>
      <w:r w:rsidRPr="2C985BC1">
        <w:rPr>
          <w:rFonts w:asciiTheme="majorHAnsi" w:hAnsiTheme="majorHAnsi" w:cstheme="majorBidi"/>
          <w:lang w:bidi="en-GB"/>
        </w:rPr>
        <w:t>A taxpayer may opt for taxation on a lump sum basis also before the end of the tax year adopted by the taxpayer if, on the last day of the month preceding the first month of taxation on a lump sum basis, the taxpayer closes the accounting books and prepare the financial statements in accordance with the accounting regulations. In this case, the accounting books are opened on the first day of the month of the taxation on a lump sum basis.</w:t>
      </w:r>
    </w:p>
    <w:p w14:paraId="679CC17F" w14:textId="6C5586F9" w:rsidR="00F3301D" w:rsidRDefault="1C4EC19E" w:rsidP="00AB6567">
      <w:pPr>
        <w:suppressAutoHyphens w:val="0"/>
        <w:autoSpaceDN/>
        <w:spacing w:before="120" w:after="0" w:line="240" w:lineRule="auto"/>
        <w:ind w:left="709"/>
        <w:jc w:val="both"/>
        <w:textAlignment w:val="auto"/>
        <w:rPr>
          <w:rFonts w:asciiTheme="majorHAnsi" w:hAnsiTheme="majorHAnsi" w:cstheme="majorBidi"/>
        </w:rPr>
      </w:pPr>
      <w:r w:rsidRPr="2C985BC1">
        <w:rPr>
          <w:rFonts w:asciiTheme="majorHAnsi" w:hAnsiTheme="majorHAnsi" w:cstheme="majorBidi"/>
          <w:lang w:bidi="en-GB"/>
        </w:rPr>
        <w:t>Then, the taxpayer submits the notification on the choice of taxation on a lump sum basis (ZAW-RD) to the competent head of the tax office by the end of the first month of the first tax year in which the taxpayer wishes to be subject to taxation on a lump sum basis.</w:t>
      </w:r>
    </w:p>
    <w:p w14:paraId="2A150D29" w14:textId="77777777" w:rsidR="00AB6567" w:rsidRPr="00AB6567" w:rsidRDefault="00AB6567" w:rsidP="00AB6567">
      <w:pPr>
        <w:suppressAutoHyphens w:val="0"/>
        <w:autoSpaceDN/>
        <w:spacing w:before="120" w:after="0" w:line="240" w:lineRule="auto"/>
        <w:ind w:left="709"/>
        <w:jc w:val="both"/>
        <w:textAlignment w:val="auto"/>
        <w:rPr>
          <w:rFonts w:asciiTheme="majorHAnsi" w:hAnsiTheme="majorHAnsi" w:cstheme="majorBidi"/>
        </w:rPr>
      </w:pPr>
    </w:p>
    <w:p w14:paraId="415318BB" w14:textId="0072E2B7" w:rsidR="00F3301D" w:rsidRPr="00170DCB" w:rsidRDefault="1CE0D6A6">
      <w:pPr>
        <w:pStyle w:val="Akapitzlist"/>
        <w:numPr>
          <w:ilvl w:val="0"/>
          <w:numId w:val="14"/>
        </w:numPr>
        <w:spacing w:before="120"/>
        <w:jc w:val="both"/>
        <w:rPr>
          <w:rFonts w:asciiTheme="majorHAnsi" w:hAnsiTheme="majorHAnsi" w:cstheme="majorBidi"/>
        </w:rPr>
      </w:pPr>
      <w:r w:rsidRPr="002303D1">
        <w:rPr>
          <w:rFonts w:asciiTheme="majorHAnsi" w:eastAsia="Calibri" w:hAnsiTheme="majorHAnsi" w:cstheme="majorBidi"/>
          <w:sz w:val="22"/>
          <w:szCs w:val="22"/>
          <w:lang w:bidi="en-GB"/>
        </w:rPr>
        <w:t>Non-business expenses</w:t>
      </w:r>
    </w:p>
    <w:p w14:paraId="1C4A5AC2" w14:textId="77777777" w:rsidR="00F1765C" w:rsidRDefault="5A25C201" w:rsidP="00AB6567">
      <w:pPr>
        <w:suppressAutoHyphens w:val="0"/>
        <w:autoSpaceDN/>
        <w:spacing w:before="120" w:after="0" w:line="240" w:lineRule="auto"/>
        <w:ind w:left="709"/>
        <w:jc w:val="both"/>
        <w:textAlignment w:val="auto"/>
        <w:rPr>
          <w:rFonts w:asciiTheme="majorHAnsi" w:hAnsiTheme="majorHAnsi" w:cstheme="majorBidi"/>
          <w:lang w:bidi="en-GB"/>
        </w:rPr>
      </w:pPr>
      <w:r w:rsidRPr="002303D1">
        <w:rPr>
          <w:rFonts w:asciiTheme="majorHAnsi" w:hAnsiTheme="majorHAnsi" w:cstheme="majorBidi"/>
          <w:lang w:bidi="en-GB"/>
        </w:rPr>
        <w:t>The catalogue of non-business expenses constituting income subject to a taxation on a lump sum basis has been extended.</w:t>
      </w:r>
    </w:p>
    <w:p w14:paraId="42B4B683" w14:textId="1DA9F5E0" w:rsidR="00F3301D" w:rsidRPr="00170DCB" w:rsidRDefault="15F71FF8" w:rsidP="00AB6567">
      <w:pPr>
        <w:suppressAutoHyphens w:val="0"/>
        <w:autoSpaceDN/>
        <w:spacing w:before="120" w:after="0" w:line="240" w:lineRule="auto"/>
        <w:ind w:left="709"/>
        <w:jc w:val="both"/>
        <w:textAlignment w:val="auto"/>
        <w:rPr>
          <w:rFonts w:asciiTheme="majorHAnsi" w:hAnsiTheme="majorHAnsi" w:cstheme="majorBidi"/>
        </w:rPr>
      </w:pPr>
      <w:r w:rsidRPr="2462E19B">
        <w:rPr>
          <w:rFonts w:asciiTheme="majorHAnsi" w:hAnsiTheme="majorHAnsi" w:cstheme="majorBidi"/>
          <w:lang w:bidi="en-GB"/>
        </w:rPr>
        <w:t>These expenses relate to expenses and depreciation write-offs and impairment losses related to the use of passenger cars, air transport means, vessels and other assets for non-business purposes by entities other than a shareholder or partner or an entity related directly or indirectly with a taxpayer or the shareholder or partner (e.g. by employees of the taxpayer).</w:t>
      </w:r>
    </w:p>
    <w:p w14:paraId="282FE71F" w14:textId="3A6C99E0" w:rsidR="00F3301D" w:rsidRPr="00170DCB" w:rsidRDefault="06D437CF" w:rsidP="00AB6567">
      <w:pPr>
        <w:suppressAutoHyphens w:val="0"/>
        <w:autoSpaceDN/>
        <w:spacing w:before="120" w:after="0" w:line="240" w:lineRule="auto"/>
        <w:ind w:left="709"/>
        <w:jc w:val="both"/>
        <w:textAlignment w:val="auto"/>
      </w:pPr>
      <w:r w:rsidRPr="7D6438CE">
        <w:rPr>
          <w:rFonts w:asciiTheme="majorHAnsi" w:hAnsiTheme="majorHAnsi" w:cstheme="majorBidi"/>
          <w:lang w:bidi="en-GB"/>
        </w:rPr>
        <w:t>In the case of assets (as listed above), which are not used exclusively for business purposes, 50% of their value is treated as non-business expenses and is subject to taxation on a lump sum basis.</w:t>
      </w:r>
    </w:p>
    <w:p w14:paraId="38D712D5" w14:textId="32612215" w:rsidR="299E8925" w:rsidRPr="00AB6567" w:rsidRDefault="299E8925" w:rsidP="00AB6567">
      <w:pPr>
        <w:spacing w:before="120" w:after="0" w:line="240" w:lineRule="auto"/>
        <w:ind w:left="709"/>
        <w:jc w:val="both"/>
        <w:rPr>
          <w:rFonts w:asciiTheme="majorHAnsi" w:hAnsiTheme="majorHAnsi" w:cstheme="majorBidi"/>
        </w:rPr>
      </w:pPr>
      <w:r w:rsidRPr="00AB6567">
        <w:rPr>
          <w:rFonts w:asciiTheme="majorHAnsi" w:hAnsiTheme="majorHAnsi" w:cstheme="majorBidi"/>
          <w:lang w:bidi="en-GB"/>
        </w:rPr>
        <w:t>According to the current position of tax authorities, when determining the value of non-business expenses in the case of passenger cars used for mixed purposes by shareholders or employees of the company, the gross value of such expenses resulting from an invoice should be taken into account, i.e. taking into account the value added tax disclosed in this invoice. Consequently, the tax basis of the taxation on a lump sum basis of companies’ income in the scope of income from hidden expenses not related to business activity is expenditure in the gross value.</w:t>
      </w:r>
    </w:p>
    <w:p w14:paraId="701ABE88" w14:textId="77777777" w:rsidR="00F1765C" w:rsidRDefault="513B3455" w:rsidP="2C985BC1">
      <w:pPr>
        <w:suppressAutoHyphens w:val="0"/>
        <w:autoSpaceDN/>
        <w:spacing w:before="120" w:after="0" w:line="240" w:lineRule="auto"/>
        <w:jc w:val="both"/>
        <w:textAlignment w:val="auto"/>
        <w:rPr>
          <w:rFonts w:asciiTheme="majorHAnsi" w:hAnsiTheme="majorHAnsi" w:cstheme="majorBidi"/>
          <w:lang w:bidi="en-GB"/>
        </w:rPr>
      </w:pPr>
      <w:r w:rsidRPr="00AB6567">
        <w:rPr>
          <w:rFonts w:asciiTheme="majorHAnsi" w:hAnsiTheme="majorHAnsi" w:cstheme="majorBidi"/>
          <w:lang w:bidi="en-GB"/>
        </w:rPr>
        <w:t xml:space="preserve">What is important, pursuant to the Act of 7 October 2022 amending the Corporate Income Tax Act and certain other acts (Dz. U. [Journal of Laws] of 2022 item 2180), </w:t>
      </w:r>
      <w:r w:rsidRPr="00AB6567">
        <w:rPr>
          <w:rFonts w:asciiTheme="majorHAnsi" w:hAnsiTheme="majorHAnsi" w:cstheme="majorBidi"/>
          <w:b/>
          <w:lang w:bidi="en-GB"/>
        </w:rPr>
        <w:t>the provisions concerning the deadline for submitting the CIT-8E return and the payment of the lump-sum tax have been changed.</w:t>
      </w:r>
    </w:p>
    <w:p w14:paraId="3689C440" w14:textId="6B8889C8" w:rsidR="00F3301D" w:rsidRPr="00170DCB" w:rsidRDefault="48A9A332" w:rsidP="2C985BC1">
      <w:pPr>
        <w:suppressAutoHyphens w:val="0"/>
        <w:autoSpaceDN/>
        <w:spacing w:before="120" w:after="0" w:line="240" w:lineRule="auto"/>
        <w:jc w:val="both"/>
        <w:textAlignment w:val="auto"/>
        <w:rPr>
          <w:rFonts w:asciiTheme="majorHAnsi" w:hAnsiTheme="majorHAnsi" w:cstheme="majorBidi"/>
        </w:rPr>
      </w:pPr>
      <w:r w:rsidRPr="2C985BC1">
        <w:rPr>
          <w:rFonts w:asciiTheme="majorHAnsi" w:hAnsiTheme="majorHAnsi" w:cstheme="majorBidi"/>
          <w:lang w:bidi="en-GB"/>
        </w:rPr>
        <w:t>These provisions entered into force on 26 October 2022 and they apply to income earned after 30 June 2022 by taxpayers with lump sum tax on the companies’ income whose tax year started after 31 December 2021.</w:t>
      </w:r>
    </w:p>
    <w:p w14:paraId="614D7945" w14:textId="3E51ADAD" w:rsidR="00F3301D" w:rsidRPr="00170DCB" w:rsidRDefault="4B5FD8CF" w:rsidP="2C985BC1">
      <w:pPr>
        <w:suppressAutoHyphens w:val="0"/>
        <w:autoSpaceDN/>
        <w:spacing w:before="120" w:after="0" w:line="240" w:lineRule="auto"/>
        <w:jc w:val="both"/>
        <w:textAlignment w:val="auto"/>
        <w:rPr>
          <w:rFonts w:asciiTheme="majorHAnsi" w:hAnsiTheme="majorHAnsi" w:cstheme="majorBidi"/>
        </w:rPr>
      </w:pPr>
      <w:r w:rsidRPr="2C985BC1">
        <w:rPr>
          <w:rFonts w:asciiTheme="majorHAnsi" w:hAnsiTheme="majorHAnsi" w:cstheme="majorBidi"/>
          <w:lang w:bidi="en-GB"/>
        </w:rPr>
        <w:t>Amending provisions specify that:</w:t>
      </w:r>
    </w:p>
    <w:p w14:paraId="5E0D000A" w14:textId="2A6A1E8E" w:rsidR="00F3301D" w:rsidRPr="00397A1B" w:rsidRDefault="4B5FD8CF" w:rsidP="2C985BC1">
      <w:pPr>
        <w:suppressAutoHyphens w:val="0"/>
        <w:autoSpaceDN/>
        <w:spacing w:before="120" w:after="0" w:line="240" w:lineRule="auto"/>
        <w:jc w:val="both"/>
        <w:textAlignment w:val="auto"/>
        <w:rPr>
          <w:rFonts w:asciiTheme="majorHAnsi" w:hAnsiTheme="majorHAnsi" w:cstheme="majorBidi"/>
        </w:rPr>
      </w:pPr>
      <w:r w:rsidRPr="00397A1B">
        <w:rPr>
          <w:rFonts w:asciiTheme="majorHAnsi" w:hAnsiTheme="majorHAnsi" w:cstheme="majorBidi"/>
          <w:lang w:bidi="en-GB"/>
        </w:rPr>
        <w:lastRenderedPageBreak/>
        <w:t>The lump sum tax base is, for example, the sum of income on account of the divided profit and income on account of profit intended to cover losses established in the tax year in which the resolution on the division or coverage of the net financial result (Article 28n(1)(1) of the CIT Act) is adopted.</w:t>
      </w:r>
    </w:p>
    <w:p w14:paraId="030A0E65" w14:textId="2928AB70" w:rsidR="00F3301D" w:rsidRPr="00397A1B" w:rsidRDefault="65A6CFD2" w:rsidP="2C985BC1">
      <w:pPr>
        <w:suppressAutoHyphens w:val="0"/>
        <w:autoSpaceDN/>
        <w:spacing w:before="120" w:after="0" w:line="240" w:lineRule="auto"/>
        <w:jc w:val="both"/>
        <w:textAlignment w:val="auto"/>
        <w:rPr>
          <w:rFonts w:asciiTheme="majorHAnsi" w:hAnsiTheme="majorHAnsi" w:cstheme="majorBidi"/>
        </w:rPr>
      </w:pPr>
      <w:r w:rsidRPr="00397A1B">
        <w:rPr>
          <w:rFonts w:asciiTheme="majorHAnsi" w:hAnsiTheme="majorHAnsi" w:cstheme="majorBidi"/>
          <w:lang w:bidi="en-GB"/>
        </w:rPr>
        <w:t>At the same time, the provision, which stated that the division or coverage of the taxpayer's net financial result is made by the end of the sixth month following the last day of the tax year for which the financial statements are prepared, has been repealed. If the resolution on the division or coverage of the net financial result is taken at a later date, it is assumed that the resolution was adopted on the last day of the sixth month (Article 28n(2) of the CIT Act).</w:t>
      </w:r>
    </w:p>
    <w:p w14:paraId="534E065F" w14:textId="2A83650E" w:rsidR="00F3301D" w:rsidRPr="00397A1B" w:rsidRDefault="209B543D" w:rsidP="2C985BC1">
      <w:pPr>
        <w:suppressAutoHyphens w:val="0"/>
        <w:autoSpaceDN/>
        <w:spacing w:before="120" w:after="0" w:line="240" w:lineRule="auto"/>
        <w:jc w:val="both"/>
        <w:textAlignment w:val="auto"/>
        <w:rPr>
          <w:rFonts w:asciiTheme="majorHAnsi" w:hAnsiTheme="majorHAnsi" w:cstheme="majorBidi"/>
        </w:rPr>
      </w:pPr>
      <w:r w:rsidRPr="00397A1B">
        <w:rPr>
          <w:rFonts w:asciiTheme="majorHAnsi" w:hAnsiTheme="majorHAnsi" w:cstheme="majorBidi"/>
          <w:lang w:bidi="en-GB"/>
        </w:rPr>
        <w:t>The taxpayer, subject to the provision specified in the CIT Act, who achieved income on account of the net profit and, in the period following the end of the application of the lump sum tax, distributes this income in whole or in part, is obliged to submit to the tax office a return(CIT-8E) and pay the lump sum tax due on the value of the distributed income on account of the net profit by the end of the third month of the tax year following the year in which the distribution is made (Article 28r(3) of the CIT Act).</w:t>
      </w:r>
    </w:p>
    <w:p w14:paraId="03ECDBE2" w14:textId="600560DB" w:rsidR="00F3301D" w:rsidRPr="00397A1B" w:rsidRDefault="531B3771" w:rsidP="2C985BC1">
      <w:pPr>
        <w:suppressAutoHyphens w:val="0"/>
        <w:autoSpaceDN/>
        <w:spacing w:before="120" w:after="0" w:line="240" w:lineRule="auto"/>
        <w:jc w:val="both"/>
        <w:textAlignment w:val="auto"/>
        <w:rPr>
          <w:rFonts w:asciiTheme="majorHAnsi" w:hAnsiTheme="majorHAnsi" w:cstheme="majorBidi"/>
          <w:b/>
          <w:bCs/>
        </w:rPr>
      </w:pPr>
      <w:r w:rsidRPr="00397A1B">
        <w:rPr>
          <w:rFonts w:asciiTheme="majorHAnsi" w:hAnsiTheme="majorHAnsi" w:cstheme="majorBidi"/>
          <w:b/>
          <w:lang w:bidi="en-GB"/>
        </w:rPr>
        <w:t>The taxpayer is obliged to pay (Article 28t(1)(1) and (2) of the CIT Act):</w:t>
      </w:r>
    </w:p>
    <w:p w14:paraId="5BFF35DF" w14:textId="151DF272" w:rsidR="00F3301D" w:rsidRPr="00397A1B" w:rsidRDefault="531B3771" w:rsidP="2C985BC1">
      <w:pPr>
        <w:suppressAutoHyphens w:val="0"/>
        <w:autoSpaceDN/>
        <w:spacing w:before="120" w:after="0" w:line="240" w:lineRule="auto"/>
        <w:jc w:val="both"/>
        <w:textAlignment w:val="auto"/>
        <w:rPr>
          <w:rFonts w:asciiTheme="majorHAnsi" w:hAnsiTheme="majorHAnsi" w:cstheme="majorBidi"/>
          <w:b/>
          <w:bCs/>
        </w:rPr>
      </w:pPr>
      <w:r w:rsidRPr="00397A1B">
        <w:rPr>
          <w:rFonts w:asciiTheme="majorHAnsi" w:hAnsiTheme="majorHAnsi" w:cstheme="majorBidi"/>
          <w:b/>
          <w:lang w:bidi="en-GB"/>
        </w:rPr>
        <w:t>1) a lump sum tax on the income on account of the distribution of profit and income on account of profit intended to cover losses – by the end of the third month of the tax year following the year in which the resolution on the division or coverage of the net financial result is adopted;</w:t>
      </w:r>
    </w:p>
    <w:p w14:paraId="4F422088" w14:textId="06EA9DA2" w:rsidR="00F3301D" w:rsidRPr="00397A1B" w:rsidRDefault="531B3771" w:rsidP="2C985BC1">
      <w:pPr>
        <w:suppressAutoHyphens w:val="0"/>
        <w:autoSpaceDN/>
        <w:spacing w:before="120" w:after="0" w:line="240" w:lineRule="auto"/>
        <w:jc w:val="both"/>
        <w:textAlignment w:val="auto"/>
        <w:rPr>
          <w:rFonts w:asciiTheme="majorHAnsi" w:hAnsiTheme="majorHAnsi" w:cstheme="majorBidi"/>
          <w:b/>
          <w:bCs/>
        </w:rPr>
      </w:pPr>
      <w:r w:rsidRPr="00397A1B">
        <w:rPr>
          <w:rFonts w:asciiTheme="majorHAnsi" w:hAnsiTheme="majorHAnsi" w:cstheme="majorBidi"/>
          <w:b/>
          <w:lang w:bidi="en-GB"/>
        </w:rPr>
        <w:t>2) a lump sum tax on the distribution of income on account of net profit – by the end of the third month of the tax year following the year in which the income is paid in whole or in part or distributed in any other form.</w:t>
      </w: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F51BDC" w:rsidRPr="00170DCB" w14:paraId="31C03435" w14:textId="77777777" w:rsidTr="00E0234E">
        <w:tc>
          <w:tcPr>
            <w:tcW w:w="10211" w:type="dxa"/>
            <w:shd w:val="clear" w:color="auto" w:fill="444854"/>
          </w:tcPr>
          <w:p w14:paraId="65A2CDDB" w14:textId="4193584D" w:rsidR="00F51BDC" w:rsidRPr="00170DCB" w:rsidRDefault="000467C2" w:rsidP="00F51BDC">
            <w:pPr>
              <w:pStyle w:val="Styl1"/>
              <w:spacing w:before="120" w:after="120"/>
              <w:ind w:left="357" w:hanging="357"/>
              <w:rPr>
                <w:rFonts w:asciiTheme="majorHAnsi" w:hAnsiTheme="majorHAnsi" w:cstheme="majorHAnsi"/>
                <w:szCs w:val="22"/>
              </w:rPr>
            </w:pPr>
            <w:bookmarkStart w:id="6" w:name="_Toc128041982"/>
            <w:r>
              <w:rPr>
                <w:rFonts w:asciiTheme="majorHAnsi" w:hAnsiTheme="majorHAnsi" w:cstheme="majorHAnsi"/>
                <w:color w:val="EFC812"/>
                <w:szCs w:val="22"/>
                <w:lang w:bidi="en-GB"/>
              </w:rPr>
              <w:t>Repealing provisions on hidden dividends [CIT]</w:t>
            </w:r>
            <w:bookmarkEnd w:id="6"/>
          </w:p>
        </w:tc>
      </w:tr>
    </w:tbl>
    <w:p w14:paraId="0AC544D9" w14:textId="0CA897E7" w:rsidR="59B077BB" w:rsidRPr="00310DCD" w:rsidRDefault="59B077BB" w:rsidP="79E03DEC">
      <w:pPr>
        <w:spacing w:before="120" w:after="0" w:line="240" w:lineRule="auto"/>
        <w:jc w:val="both"/>
        <w:rPr>
          <w:rFonts w:asciiTheme="majorHAnsi" w:hAnsiTheme="majorHAnsi" w:cstheme="majorBidi"/>
        </w:rPr>
      </w:pPr>
      <w:r w:rsidRPr="00310DCD">
        <w:rPr>
          <w:rFonts w:asciiTheme="majorHAnsi" w:hAnsiTheme="majorHAnsi" w:cstheme="majorBidi"/>
          <w:lang w:bidi="en-GB"/>
        </w:rPr>
        <w:t>By the amendment of the Act of 7 October 2022 amending the Corporate Income Tax Act and certain other acts, provisions on hidden dividends, which were supposed to not constitute tax deductible costs in CIT, have been repealed.</w:t>
      </w:r>
    </w:p>
    <w:p w14:paraId="1B147A05" w14:textId="77777777" w:rsidR="000935C2" w:rsidRPr="00133E6D" w:rsidRDefault="000935C2" w:rsidP="00133E6D">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AD08C7" w:rsidRPr="00170DCB" w14:paraId="063EDC92" w14:textId="77777777" w:rsidTr="00E0234E">
        <w:tc>
          <w:tcPr>
            <w:tcW w:w="10211" w:type="dxa"/>
            <w:shd w:val="clear" w:color="auto" w:fill="444854"/>
          </w:tcPr>
          <w:p w14:paraId="79672D39" w14:textId="4D0A74B3" w:rsidR="00AD08C7" w:rsidRPr="00170DCB" w:rsidRDefault="00AD08C7" w:rsidP="00E0234E">
            <w:pPr>
              <w:pStyle w:val="Styl1"/>
              <w:spacing w:before="120" w:after="120"/>
              <w:ind w:left="357" w:hanging="357"/>
              <w:rPr>
                <w:rFonts w:asciiTheme="majorHAnsi" w:hAnsiTheme="majorHAnsi" w:cstheme="majorBidi"/>
              </w:rPr>
            </w:pPr>
            <w:bookmarkStart w:id="7" w:name="_Toc128041983"/>
            <w:r w:rsidRPr="79E03DEC">
              <w:rPr>
                <w:rFonts w:asciiTheme="majorHAnsi" w:hAnsiTheme="majorHAnsi" w:cstheme="majorBidi"/>
                <w:color w:val="EFC812"/>
                <w:lang w:bidi="en-GB"/>
              </w:rPr>
              <w:t>Debt financing costs [CIT]</w:t>
            </w:r>
            <w:bookmarkEnd w:id="7"/>
          </w:p>
        </w:tc>
      </w:tr>
    </w:tbl>
    <w:p w14:paraId="6F640AF8" w14:textId="089AD570" w:rsidR="209359B8" w:rsidRDefault="209359B8" w:rsidP="00C859F8">
      <w:pPr>
        <w:spacing w:before="120" w:after="0" w:line="240" w:lineRule="auto"/>
        <w:jc w:val="both"/>
        <w:rPr>
          <w:rFonts w:ascii="Calibri Light" w:eastAsia="Calibri Light" w:hAnsi="Calibri Light" w:cs="Calibri Light"/>
        </w:rPr>
      </w:pPr>
      <w:r w:rsidRPr="79E03DEC">
        <w:rPr>
          <w:rFonts w:ascii="Calibri Light" w:eastAsia="Calibri Light" w:hAnsi="Calibri Light" w:cs="Calibri Light"/>
          <w:lang w:bidi="en-GB"/>
        </w:rPr>
        <w:t>The tax provisions in the scope of debt financing costs applicable as of 1 January 2022 (Article 15c of the CIT Act) define the method of calculating the limit of debt financing costs as tax deductible costs.</w:t>
      </w:r>
    </w:p>
    <w:p w14:paraId="6C9CC3B2" w14:textId="77777777" w:rsidR="00F1765C" w:rsidRDefault="58D1A885" w:rsidP="79E03DEC">
      <w:pPr>
        <w:spacing w:before="120" w:after="0" w:line="240" w:lineRule="auto"/>
        <w:jc w:val="both"/>
        <w:rPr>
          <w:rFonts w:ascii="Calibri Light" w:eastAsia="Calibri Light" w:hAnsi="Calibri Light" w:cs="Calibri Light"/>
          <w:lang w:bidi="en-GB"/>
        </w:rPr>
      </w:pPr>
      <w:r w:rsidRPr="79E03DEC">
        <w:rPr>
          <w:rFonts w:ascii="Calibri Light" w:eastAsia="Calibri Light" w:hAnsi="Calibri Light" w:cs="Calibri Light"/>
          <w:lang w:bidi="en-GB"/>
        </w:rPr>
        <w:t>Pursuant to this provision, taxpayers are obliged to exclude from the tax deductible costs the debt financing costs in the part in which the surplus of debt financing costs exceeds:</w:t>
      </w:r>
    </w:p>
    <w:p w14:paraId="5BFACFAB" w14:textId="77777777" w:rsidR="00F1765C" w:rsidRDefault="121B5253" w:rsidP="79E03DEC">
      <w:pPr>
        <w:spacing w:before="120" w:after="0" w:line="240" w:lineRule="auto"/>
        <w:jc w:val="both"/>
        <w:rPr>
          <w:rFonts w:ascii="Calibri Light" w:eastAsia="Calibri Light" w:hAnsi="Calibri Light" w:cs="Calibri Light"/>
          <w:lang w:bidi="en-GB"/>
        </w:rPr>
      </w:pPr>
      <w:r w:rsidRPr="79E03DEC">
        <w:rPr>
          <w:rFonts w:ascii="Calibri Light" w:eastAsia="Calibri Light" w:hAnsi="Calibri Light" w:cs="Calibri Light"/>
          <w:lang w:bidi="en-GB"/>
        </w:rPr>
        <w:t>1) the amount of PLN 3,000,000 or</w:t>
      </w:r>
    </w:p>
    <w:p w14:paraId="28B0DF9F" w14:textId="550C8297" w:rsidR="121B5253" w:rsidRDefault="121B5253" w:rsidP="79E03DEC">
      <w:pPr>
        <w:spacing w:before="120" w:after="0" w:line="240" w:lineRule="auto"/>
        <w:jc w:val="both"/>
        <w:rPr>
          <w:rFonts w:ascii="Calibri Light" w:eastAsia="Calibri Light" w:hAnsi="Calibri Light" w:cs="Calibri Light"/>
        </w:rPr>
      </w:pPr>
      <w:r w:rsidRPr="79E03DEC">
        <w:rPr>
          <w:rFonts w:ascii="Calibri Light" w:eastAsia="Calibri Light" w:hAnsi="Calibri Light" w:cs="Calibri Light"/>
          <w:lang w:bidi="en-GB"/>
        </w:rPr>
        <w:t>2) the amount calculated according to the following formula:</w:t>
      </w:r>
    </w:p>
    <w:p w14:paraId="02E6BF46" w14:textId="77777777" w:rsidR="00F1765C" w:rsidRDefault="121B5253" w:rsidP="00397A1B">
      <w:pPr>
        <w:spacing w:before="120" w:after="0" w:line="240" w:lineRule="auto"/>
        <w:ind w:left="284"/>
        <w:jc w:val="both"/>
        <w:rPr>
          <w:rFonts w:ascii="Calibri Light" w:eastAsia="Calibri Light" w:hAnsi="Calibri Light" w:cs="Calibri Light"/>
          <w:lang w:bidi="en-GB"/>
        </w:rPr>
      </w:pPr>
      <w:r w:rsidRPr="79E03DEC">
        <w:rPr>
          <w:rFonts w:ascii="Calibri Light" w:eastAsia="Calibri Light" w:hAnsi="Calibri Light" w:cs="Calibri Light"/>
          <w:lang w:bidi="en-GB"/>
        </w:rPr>
        <w:t>[(R – IR) – (C– DWO – CDF)] x 30%</w:t>
      </w:r>
    </w:p>
    <w:p w14:paraId="08244EDD" w14:textId="77777777" w:rsidR="00F1765C" w:rsidRDefault="121B5253" w:rsidP="00397A1B">
      <w:pPr>
        <w:spacing w:before="120" w:after="0" w:line="240" w:lineRule="auto"/>
        <w:ind w:left="284"/>
        <w:jc w:val="both"/>
        <w:rPr>
          <w:rFonts w:ascii="Calibri Light" w:eastAsia="Calibri Light" w:hAnsi="Calibri Light" w:cs="Calibri Light"/>
          <w:lang w:bidi="en-GB"/>
        </w:rPr>
      </w:pPr>
      <w:r w:rsidRPr="79E03DEC">
        <w:rPr>
          <w:rFonts w:ascii="Calibri Light" w:eastAsia="Calibri Light" w:hAnsi="Calibri Light" w:cs="Calibri Light"/>
          <w:lang w:bidi="en-GB"/>
        </w:rPr>
        <w:t>where:</w:t>
      </w:r>
    </w:p>
    <w:p w14:paraId="2B39FD88" w14:textId="77777777" w:rsidR="00F1765C" w:rsidRDefault="121B5253" w:rsidP="00397A1B">
      <w:pPr>
        <w:spacing w:before="120" w:after="0" w:line="240" w:lineRule="auto"/>
        <w:ind w:left="284"/>
        <w:jc w:val="both"/>
        <w:rPr>
          <w:rFonts w:ascii="Calibri Light" w:eastAsia="Calibri Light" w:hAnsi="Calibri Light" w:cs="Calibri Light"/>
          <w:lang w:bidi="en-GB"/>
        </w:rPr>
      </w:pPr>
      <w:r w:rsidRPr="79E03DEC">
        <w:rPr>
          <w:rFonts w:ascii="Calibri Light" w:eastAsia="Calibri Light" w:hAnsi="Calibri Light" w:cs="Calibri Light"/>
          <w:lang w:bidi="en-GB"/>
        </w:rPr>
        <w:t>R – the total value of revenue from all sources of revenue from which income is subject to income tax,</w:t>
      </w:r>
    </w:p>
    <w:p w14:paraId="6635EDD6" w14:textId="77777777" w:rsidR="00F1765C" w:rsidRDefault="121B5253" w:rsidP="00397A1B">
      <w:pPr>
        <w:spacing w:before="120" w:after="0" w:line="240" w:lineRule="auto"/>
        <w:ind w:left="284"/>
        <w:jc w:val="both"/>
        <w:rPr>
          <w:rFonts w:ascii="Calibri Light" w:eastAsia="Calibri Light" w:hAnsi="Calibri Light" w:cs="Calibri Light"/>
          <w:lang w:bidi="en-GB"/>
        </w:rPr>
      </w:pPr>
      <w:r w:rsidRPr="79E03DEC">
        <w:rPr>
          <w:rFonts w:ascii="Calibri Light" w:eastAsia="Calibri Light" w:hAnsi="Calibri Light" w:cs="Calibri Light"/>
          <w:lang w:bidi="en-GB"/>
        </w:rPr>
        <w:t>IR – interest revenue,</w:t>
      </w:r>
    </w:p>
    <w:p w14:paraId="0A83C456" w14:textId="77777777" w:rsidR="00F1765C" w:rsidRDefault="121B5253" w:rsidP="00397A1B">
      <w:pPr>
        <w:spacing w:before="120" w:after="0" w:line="240" w:lineRule="auto"/>
        <w:ind w:left="284"/>
        <w:jc w:val="both"/>
        <w:rPr>
          <w:rFonts w:ascii="Calibri Light" w:eastAsia="Calibri Light" w:hAnsi="Calibri Light" w:cs="Calibri Light"/>
          <w:lang w:bidi="en-GB"/>
        </w:rPr>
      </w:pPr>
      <w:r w:rsidRPr="79E03DEC">
        <w:rPr>
          <w:rFonts w:ascii="Calibri Light" w:eastAsia="Calibri Light" w:hAnsi="Calibri Light" w:cs="Calibri Light"/>
          <w:lang w:bidi="en-GB"/>
        </w:rPr>
        <w:t>C – the sum of the tax deductible costs without deductions resulting from this section and Article 15e,</w:t>
      </w:r>
    </w:p>
    <w:p w14:paraId="05C6BC2C" w14:textId="77777777" w:rsidR="00F1765C" w:rsidRDefault="121B5253" w:rsidP="00397A1B">
      <w:pPr>
        <w:spacing w:before="120" w:after="0" w:line="240" w:lineRule="auto"/>
        <w:ind w:left="284"/>
        <w:jc w:val="both"/>
        <w:rPr>
          <w:rFonts w:ascii="Calibri Light" w:eastAsia="Calibri Light" w:hAnsi="Calibri Light" w:cs="Calibri Light"/>
          <w:lang w:bidi="en-GB"/>
        </w:rPr>
      </w:pPr>
      <w:r w:rsidRPr="79E03DEC">
        <w:rPr>
          <w:rFonts w:ascii="Calibri Light" w:eastAsia="Calibri Light" w:hAnsi="Calibri Light" w:cs="Calibri Light"/>
          <w:lang w:bidi="en-GB"/>
        </w:rPr>
        <w:t>DWO – depreciation write-offs recognised in a tax year as tax deductible costs,</w:t>
      </w:r>
    </w:p>
    <w:p w14:paraId="30142167" w14:textId="7C0FD0B5" w:rsidR="121B5253" w:rsidRDefault="121B5253" w:rsidP="00397A1B">
      <w:pPr>
        <w:spacing w:before="120" w:after="0" w:line="240" w:lineRule="auto"/>
        <w:ind w:left="284"/>
        <w:jc w:val="both"/>
        <w:rPr>
          <w:rFonts w:ascii="Calibri Light" w:eastAsia="Calibri Light" w:hAnsi="Calibri Light" w:cs="Calibri Light"/>
        </w:rPr>
      </w:pPr>
      <w:r w:rsidRPr="79E03DEC">
        <w:rPr>
          <w:rFonts w:ascii="Calibri Light" w:eastAsia="Calibri Light" w:hAnsi="Calibri Light" w:cs="Calibri Light"/>
          <w:lang w:bidi="en-GB"/>
        </w:rPr>
        <w:t>CDF – costs of debt financing recognised in a tax year as tax deductible costs, not included in the initial value of fixed assets and intangible assets, before making deductions resulting from this section and Article 15e of the Act</w:t>
      </w:r>
    </w:p>
    <w:p w14:paraId="61A13993" w14:textId="6C0D0F7A" w:rsidR="0E1A242A" w:rsidRDefault="0E1A242A" w:rsidP="79E03DEC">
      <w:pPr>
        <w:spacing w:before="120" w:after="0" w:line="240" w:lineRule="auto"/>
        <w:jc w:val="both"/>
        <w:rPr>
          <w:rFonts w:ascii="Calibri Light" w:eastAsia="Calibri Light" w:hAnsi="Calibri Light" w:cs="Calibri Light"/>
        </w:rPr>
      </w:pPr>
      <w:r w:rsidRPr="79E03DEC">
        <w:rPr>
          <w:rFonts w:ascii="Calibri Light" w:eastAsia="Calibri Light" w:hAnsi="Calibri Light" w:cs="Calibri Light"/>
          <w:lang w:bidi="en-GB"/>
        </w:rPr>
        <w:lastRenderedPageBreak/>
        <w:t>The amendment of the provisions from 1 January 2023 introduces a clarification that debt financing costs in the part in which the surplus of debt financing costs exceeds the higher of the above-mentioned amounts are excluded from tax deductible costs.</w:t>
      </w:r>
    </w:p>
    <w:p w14:paraId="0F3F5BC6" w14:textId="7A4E1D5A" w:rsidR="068C27E3" w:rsidRDefault="068C27E3" w:rsidP="79E03DEC">
      <w:pPr>
        <w:spacing w:before="120" w:after="0" w:line="240" w:lineRule="auto"/>
        <w:jc w:val="both"/>
        <w:rPr>
          <w:rFonts w:ascii="Calibri Light" w:eastAsia="Calibri Light" w:hAnsi="Calibri Light" w:cs="Calibri Light"/>
        </w:rPr>
      </w:pPr>
      <w:r w:rsidRPr="79E03DEC">
        <w:rPr>
          <w:rFonts w:ascii="Calibri Light" w:eastAsia="Calibri Light" w:hAnsi="Calibri Light" w:cs="Calibri Light"/>
          <w:lang w:bidi="en-GB"/>
        </w:rPr>
        <w:t>The clarification of this provision applies to the costs of debt financing incurred as of 1 January 2022.</w:t>
      </w:r>
    </w:p>
    <w:p w14:paraId="6E0E1059" w14:textId="77777777" w:rsidR="00397A1B" w:rsidRPr="00133E6D" w:rsidRDefault="00397A1B" w:rsidP="00133E6D">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8E7A8D" w:rsidRPr="00170DCB" w14:paraId="79901FDF" w14:textId="77777777" w:rsidTr="00E0234E">
        <w:tc>
          <w:tcPr>
            <w:tcW w:w="10211" w:type="dxa"/>
            <w:shd w:val="clear" w:color="auto" w:fill="444854"/>
          </w:tcPr>
          <w:p w14:paraId="322CBE5F" w14:textId="42558E05" w:rsidR="008E7A8D" w:rsidRPr="00170DCB" w:rsidRDefault="007646F0" w:rsidP="00E0234E">
            <w:pPr>
              <w:pStyle w:val="Styl1"/>
              <w:spacing w:before="120" w:after="120"/>
              <w:ind w:left="357" w:hanging="357"/>
              <w:rPr>
                <w:rFonts w:asciiTheme="majorHAnsi" w:hAnsiTheme="majorHAnsi" w:cstheme="majorBidi"/>
                <w:color w:val="EFC812"/>
              </w:rPr>
            </w:pPr>
            <w:bookmarkStart w:id="8" w:name="_Toc128041984"/>
            <w:r w:rsidRPr="79E03DEC">
              <w:rPr>
                <w:rFonts w:asciiTheme="majorHAnsi" w:hAnsiTheme="majorHAnsi" w:cstheme="majorBidi"/>
                <w:color w:val="EFC812"/>
                <w:lang w:bidi="en-GB"/>
              </w:rPr>
              <w:t>Holding company [CIT]</w:t>
            </w:r>
            <w:bookmarkEnd w:id="8"/>
          </w:p>
        </w:tc>
      </w:tr>
    </w:tbl>
    <w:p w14:paraId="1B6BD335" w14:textId="710F127B" w:rsidR="00397A1B" w:rsidRPr="00397A1B" w:rsidRDefault="008264CF" w:rsidP="003F1686">
      <w:pPr>
        <w:spacing w:before="120"/>
        <w:jc w:val="both"/>
        <w:rPr>
          <w:rFonts w:asciiTheme="majorHAnsi" w:hAnsiTheme="majorHAnsi" w:cstheme="majorBidi"/>
        </w:rPr>
      </w:pPr>
      <w:r w:rsidRPr="00397A1B">
        <w:rPr>
          <w:rFonts w:asciiTheme="majorHAnsi" w:hAnsiTheme="majorHAnsi" w:cstheme="majorBidi"/>
          <w:lang w:bidi="en-GB"/>
        </w:rPr>
        <w:t>According to the new provisions (Article 24m – 24p of the CIT Act), the following changes have been introduced:</w:t>
      </w:r>
    </w:p>
    <w:p w14:paraId="53547F57" w14:textId="23624C76" w:rsidR="5F066F18" w:rsidRPr="00397A1B" w:rsidRDefault="5F066F18" w:rsidP="00397A1B">
      <w:pPr>
        <w:pStyle w:val="Akapitzlist"/>
        <w:numPr>
          <w:ilvl w:val="0"/>
          <w:numId w:val="18"/>
        </w:numPr>
        <w:spacing w:before="120"/>
        <w:jc w:val="both"/>
        <w:rPr>
          <w:rFonts w:asciiTheme="majorHAnsi" w:hAnsiTheme="majorHAnsi" w:cstheme="majorBidi"/>
          <w:sz w:val="22"/>
          <w:szCs w:val="22"/>
        </w:rPr>
      </w:pPr>
      <w:r w:rsidRPr="00397A1B">
        <w:rPr>
          <w:rFonts w:asciiTheme="majorHAnsi" w:hAnsiTheme="majorHAnsi" w:cstheme="majorBidi"/>
          <w:sz w:val="22"/>
          <w:szCs w:val="22"/>
          <w:lang w:bidi="en-GB"/>
        </w:rPr>
        <w:t>changes in the definition of a holding company,</w:t>
      </w:r>
    </w:p>
    <w:p w14:paraId="104CD5C1" w14:textId="0A51B598" w:rsidR="5F066F18" w:rsidRPr="00397A1B" w:rsidRDefault="5F066F18" w:rsidP="00397A1B">
      <w:pPr>
        <w:pStyle w:val="Akapitzlist"/>
        <w:numPr>
          <w:ilvl w:val="0"/>
          <w:numId w:val="18"/>
        </w:numPr>
        <w:spacing w:before="120"/>
        <w:jc w:val="both"/>
        <w:rPr>
          <w:rFonts w:asciiTheme="majorHAnsi" w:hAnsiTheme="majorHAnsi" w:cstheme="majorBidi"/>
          <w:sz w:val="22"/>
          <w:szCs w:val="22"/>
        </w:rPr>
      </w:pPr>
      <w:r w:rsidRPr="00397A1B">
        <w:rPr>
          <w:rFonts w:asciiTheme="majorHAnsi" w:hAnsiTheme="majorHAnsi" w:cstheme="majorBidi"/>
          <w:sz w:val="22"/>
          <w:szCs w:val="22"/>
          <w:lang w:bidi="en-GB"/>
        </w:rPr>
        <w:t>changes in the definition of a subsidiary,</w:t>
      </w:r>
    </w:p>
    <w:p w14:paraId="616F3152" w14:textId="355331CA" w:rsidR="5F066F18" w:rsidRPr="00397A1B" w:rsidRDefault="5F066F18" w:rsidP="00397A1B">
      <w:pPr>
        <w:pStyle w:val="Akapitzlist"/>
        <w:numPr>
          <w:ilvl w:val="0"/>
          <w:numId w:val="18"/>
        </w:numPr>
        <w:spacing w:before="120"/>
        <w:jc w:val="both"/>
        <w:rPr>
          <w:rFonts w:asciiTheme="majorHAnsi" w:hAnsiTheme="majorHAnsi" w:cstheme="majorBidi"/>
          <w:sz w:val="22"/>
          <w:szCs w:val="22"/>
        </w:rPr>
      </w:pPr>
      <w:r w:rsidRPr="00397A1B">
        <w:rPr>
          <w:rFonts w:asciiTheme="majorHAnsi" w:hAnsiTheme="majorHAnsi" w:cstheme="majorBidi"/>
          <w:sz w:val="22"/>
          <w:szCs w:val="22"/>
          <w:lang w:bidi="en-GB"/>
        </w:rPr>
        <w:t>changes in the exemption from income tax of dividends received by a holding company (total tax exemption in place of the current exemption at the level of 95%).</w:t>
      </w:r>
    </w:p>
    <w:p w14:paraId="1619228C" w14:textId="0F3FCA33" w:rsidR="00397A1B" w:rsidRDefault="00397A1B">
      <w:pPr>
        <w:suppressAutoHyphens w:val="0"/>
        <w:autoSpaceDN/>
        <w:spacing w:after="0" w:line="240" w:lineRule="auto"/>
        <w:textAlignment w:val="auto"/>
        <w:rPr>
          <w:rFonts w:asciiTheme="majorHAnsi" w:hAnsiTheme="majorHAnsi" w:cstheme="majorBidi"/>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A40149" w:rsidRPr="00170DCB" w14:paraId="4018CDB6" w14:textId="77777777" w:rsidTr="00DF137C">
        <w:tc>
          <w:tcPr>
            <w:tcW w:w="10211" w:type="dxa"/>
            <w:shd w:val="clear" w:color="auto" w:fill="444854"/>
          </w:tcPr>
          <w:p w14:paraId="5D4F23AF" w14:textId="50831BE2" w:rsidR="00A40149" w:rsidRPr="00170DCB" w:rsidRDefault="00A40149" w:rsidP="00A40149">
            <w:pPr>
              <w:pStyle w:val="Styl1"/>
              <w:spacing w:before="120" w:after="120"/>
              <w:ind w:left="357" w:hanging="357"/>
              <w:rPr>
                <w:rFonts w:asciiTheme="majorHAnsi" w:hAnsiTheme="majorHAnsi" w:cstheme="majorBidi"/>
              </w:rPr>
            </w:pPr>
            <w:bookmarkStart w:id="9" w:name="_Toc128041985"/>
            <w:r>
              <w:rPr>
                <w:rFonts w:asciiTheme="majorHAnsi" w:hAnsiTheme="majorHAnsi" w:cstheme="majorBidi"/>
                <w:color w:val="EFC812"/>
                <w:lang w:bidi="en-GB"/>
              </w:rPr>
              <w:t>Bad debt relief [CIT, PIT]</w:t>
            </w:r>
            <w:bookmarkEnd w:id="9"/>
          </w:p>
        </w:tc>
      </w:tr>
    </w:tbl>
    <w:p w14:paraId="1FFF9881" w14:textId="37DC4912" w:rsidR="00C5592F" w:rsidRPr="00170DCB" w:rsidRDefault="38CF87D7" w:rsidP="00C5592F">
      <w:pPr>
        <w:suppressAutoHyphens w:val="0"/>
        <w:autoSpaceDN/>
        <w:spacing w:before="120" w:after="0" w:line="240" w:lineRule="auto"/>
        <w:jc w:val="both"/>
        <w:textAlignment w:val="auto"/>
        <w:rPr>
          <w:rFonts w:asciiTheme="majorHAnsi" w:hAnsiTheme="majorHAnsi" w:cstheme="majorBidi"/>
        </w:rPr>
      </w:pPr>
      <w:r w:rsidRPr="79E03DEC">
        <w:rPr>
          <w:rFonts w:asciiTheme="majorHAnsi" w:hAnsiTheme="majorHAnsi" w:cstheme="majorBidi"/>
          <w:lang w:bidi="en-GB"/>
        </w:rPr>
        <w:t>Pursuant to the applicable regulations (Article 18f(19) of the CIT Act; Article 26i(19) of the PIT Act), taxpayers making appropriate increases or reductions resulting from the bad debt relief are obliged to demonstrate claims or liabilities with which those increases or reductions are related in the annual tax return. For this purpose, the CIT-ZW (PIT-ZW) was attached to the annual tax return.</w:t>
      </w:r>
    </w:p>
    <w:p w14:paraId="1A9A87F8" w14:textId="66EE48B9" w:rsidR="77746D08" w:rsidRDefault="77746D08" w:rsidP="79E03DEC">
      <w:pPr>
        <w:spacing w:before="120" w:after="0" w:line="240" w:lineRule="auto"/>
        <w:jc w:val="both"/>
        <w:rPr>
          <w:rFonts w:asciiTheme="majorHAnsi" w:hAnsiTheme="majorHAnsi" w:cstheme="majorBidi"/>
        </w:rPr>
      </w:pPr>
      <w:r w:rsidRPr="79E03DEC">
        <w:rPr>
          <w:rFonts w:asciiTheme="majorHAnsi" w:hAnsiTheme="majorHAnsi" w:cstheme="majorBidi"/>
          <w:lang w:bidi="en-GB"/>
        </w:rPr>
        <w:t>The amendment to the Act applicable as of 1 January 2023 repeals the obligation to attach this statement to the annual tax return.</w:t>
      </w:r>
    </w:p>
    <w:p w14:paraId="158C22D2" w14:textId="0207258C" w:rsidR="79E03DEC" w:rsidRDefault="63872DA9">
      <w:pPr>
        <w:spacing w:before="120" w:after="0" w:line="240" w:lineRule="auto"/>
        <w:jc w:val="both"/>
        <w:rPr>
          <w:rFonts w:ascii="Calibri Light" w:eastAsia="Calibri Light" w:hAnsi="Calibri Light" w:cs="Calibri Light"/>
        </w:rPr>
      </w:pPr>
      <w:r w:rsidRPr="0D9F1C9D">
        <w:rPr>
          <w:rFonts w:ascii="Calibri Light" w:eastAsia="Calibri Light" w:hAnsi="Calibri Light" w:cs="Calibri Light"/>
          <w:lang w:bidi="en-GB"/>
        </w:rPr>
        <w:t>Moreover, on 1 January 2023, Article 18f(1a) of the CIT Act will be added, which provides that if a taxpayer obtains income taxed at different rates, increases and reductions, referred to in Article 18f(1) of the CIT Act, are made on each tax base in the proportion that income taxed at different rates remains to the total amount of income in the tax year.</w:t>
      </w:r>
    </w:p>
    <w:p w14:paraId="1478792C" w14:textId="77777777" w:rsidR="00FE17DF" w:rsidRPr="00133E6D" w:rsidRDefault="00FE17DF" w:rsidP="00133E6D">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A40149" w:rsidRPr="00A40149" w14:paraId="3A519513" w14:textId="77777777" w:rsidTr="00A40149">
        <w:trPr>
          <w:trHeight w:val="523"/>
        </w:trPr>
        <w:tc>
          <w:tcPr>
            <w:tcW w:w="10211" w:type="dxa"/>
            <w:shd w:val="clear" w:color="auto" w:fill="444854"/>
          </w:tcPr>
          <w:p w14:paraId="0C33CD24" w14:textId="1A49C9E7" w:rsidR="00A40149" w:rsidRPr="00A40149" w:rsidRDefault="00A40149" w:rsidP="00A40149">
            <w:pPr>
              <w:pStyle w:val="Styl1"/>
              <w:spacing w:before="120" w:after="120"/>
              <w:ind w:left="357" w:hanging="357"/>
              <w:rPr>
                <w:rFonts w:asciiTheme="majorHAnsi" w:hAnsiTheme="majorHAnsi" w:cstheme="majorBidi"/>
                <w:color w:val="EFC812"/>
              </w:rPr>
            </w:pPr>
            <w:bookmarkStart w:id="10" w:name="_Toc128041986"/>
            <w:r w:rsidRPr="00A40149">
              <w:rPr>
                <w:rFonts w:asciiTheme="majorHAnsi" w:hAnsiTheme="majorHAnsi" w:cstheme="majorBidi"/>
                <w:color w:val="EFC812"/>
                <w:lang w:bidi="en-GB"/>
              </w:rPr>
              <w:t>Social security contributions (ZUS) contributions and tax deductible costs [CIT, PIT]</w:t>
            </w:r>
            <w:bookmarkEnd w:id="10"/>
          </w:p>
        </w:tc>
      </w:tr>
    </w:tbl>
    <w:p w14:paraId="561BD235" w14:textId="6CCD561D" w:rsidR="7890EFBA" w:rsidRDefault="7890EFBA" w:rsidP="79E03DEC">
      <w:pPr>
        <w:spacing w:before="120" w:after="0" w:line="240" w:lineRule="auto"/>
        <w:jc w:val="both"/>
        <w:rPr>
          <w:rFonts w:asciiTheme="majorHAnsi" w:hAnsiTheme="majorHAnsi" w:cstheme="majorBidi"/>
        </w:rPr>
      </w:pPr>
      <w:r w:rsidRPr="79E03DEC">
        <w:rPr>
          <w:rFonts w:asciiTheme="majorHAnsi" w:hAnsiTheme="majorHAnsi" w:cstheme="majorBidi"/>
          <w:lang w:bidi="en-GB"/>
        </w:rPr>
        <w:t>The current provision of Article 15(4h) of the CIT Act is amended on 1 January 2023, i.e. the regulations on the moment of recognising social security contributions in the part financed by the contribution remitter, contributions to the Labour Fund, the Solidarity Fund and the Guaranteed Employee Benefits Fund in the tax deductible costs are harmonised.</w:t>
      </w:r>
    </w:p>
    <w:p w14:paraId="11A99F33" w14:textId="0BCBAFB5" w:rsidR="73A18644" w:rsidRDefault="73A18644" w:rsidP="79E03DEC">
      <w:pPr>
        <w:spacing w:before="120" w:after="0" w:line="240" w:lineRule="auto"/>
        <w:jc w:val="both"/>
        <w:rPr>
          <w:rFonts w:asciiTheme="majorHAnsi" w:hAnsiTheme="majorHAnsi" w:cstheme="majorBidi"/>
        </w:rPr>
      </w:pPr>
      <w:r w:rsidRPr="79E03DEC">
        <w:rPr>
          <w:rFonts w:asciiTheme="majorHAnsi" w:hAnsiTheme="majorHAnsi" w:cstheme="majorBidi"/>
          <w:lang w:bidi="en-GB"/>
        </w:rPr>
        <w:t>The new wording of the provision specifies that the above-mentioned contributions constitute tax deductible costs in the month for which they are due, provided that the contributions are paid within the deadline resulting from separate provisions.</w:t>
      </w:r>
    </w:p>
    <w:p w14:paraId="4A6B4E9B" w14:textId="7746A3E9" w:rsidR="472F3059" w:rsidRDefault="472F3059" w:rsidP="79E03DEC">
      <w:pPr>
        <w:spacing w:before="120" w:after="0" w:line="240" w:lineRule="auto"/>
        <w:jc w:val="both"/>
        <w:rPr>
          <w:rFonts w:asciiTheme="majorHAnsi" w:hAnsiTheme="majorHAnsi" w:cstheme="majorBidi"/>
        </w:rPr>
      </w:pPr>
      <w:r w:rsidRPr="79E03DEC">
        <w:rPr>
          <w:rFonts w:asciiTheme="majorHAnsi" w:hAnsiTheme="majorHAnsi" w:cstheme="majorBidi"/>
          <w:lang w:bidi="en-GB"/>
        </w:rPr>
        <w:t>The new provision in the wording effective as of 1 January 2023 applies to contributions due from 1 January 2023.</w:t>
      </w:r>
    </w:p>
    <w:p w14:paraId="0D1E17E1" w14:textId="1BD355CC" w:rsidR="472F3059" w:rsidRDefault="472F3059" w:rsidP="79E03DEC">
      <w:pPr>
        <w:spacing w:before="120" w:after="0" w:line="240" w:lineRule="auto"/>
        <w:jc w:val="both"/>
        <w:rPr>
          <w:rFonts w:asciiTheme="majorHAnsi" w:hAnsiTheme="majorHAnsi" w:cstheme="majorBidi"/>
        </w:rPr>
      </w:pPr>
      <w:r w:rsidRPr="79E03DEC">
        <w:rPr>
          <w:rFonts w:asciiTheme="majorHAnsi" w:hAnsiTheme="majorHAnsi" w:cstheme="majorBidi"/>
          <w:lang w:bidi="en-GB"/>
        </w:rPr>
        <w:t>Importantly, CIT taxpayers whose tax year is different from the calendar year and started before 1 January 2023 and will end after 31 December 2023 apply the provisions of the Act applicable until 31 December 2022 by the end of the tax year.</w:t>
      </w:r>
    </w:p>
    <w:p w14:paraId="158F3367" w14:textId="67B2E6D8" w:rsidR="00244DBA" w:rsidRDefault="00244DBA" w:rsidP="79E03DEC">
      <w:pPr>
        <w:spacing w:before="120" w:after="0" w:line="240" w:lineRule="auto"/>
        <w:jc w:val="both"/>
        <w:rPr>
          <w:rFonts w:asciiTheme="majorHAnsi" w:hAnsiTheme="majorHAnsi" w:cstheme="majorBidi"/>
        </w:rPr>
      </w:pPr>
      <w:r>
        <w:rPr>
          <w:rFonts w:asciiTheme="majorHAnsi" w:hAnsiTheme="majorHAnsi" w:cstheme="majorBidi"/>
          <w:lang w:bidi="en-GB"/>
        </w:rPr>
        <w:t>The similar change concerns PIT taxpayers.</w:t>
      </w:r>
    </w:p>
    <w:p w14:paraId="1A311AE2" w14:textId="77777777" w:rsidR="00FE17DF" w:rsidRPr="00133E6D" w:rsidRDefault="00FE17DF" w:rsidP="00133E6D">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FE17DF" w:rsidRPr="0049283B" w14:paraId="1E2775DA" w14:textId="77777777" w:rsidTr="001A32F6">
        <w:trPr>
          <w:trHeight w:val="523"/>
        </w:trPr>
        <w:tc>
          <w:tcPr>
            <w:tcW w:w="10211" w:type="dxa"/>
            <w:shd w:val="clear" w:color="auto" w:fill="444854"/>
          </w:tcPr>
          <w:p w14:paraId="68E11675" w14:textId="0BDE4110" w:rsidR="00FE17DF" w:rsidRPr="00FE17DF" w:rsidRDefault="00FE17DF" w:rsidP="0049283B">
            <w:pPr>
              <w:pStyle w:val="Styl1"/>
              <w:spacing w:before="120" w:after="120"/>
              <w:ind w:left="357" w:hanging="357"/>
              <w:rPr>
                <w:rFonts w:asciiTheme="majorHAnsi" w:hAnsiTheme="majorHAnsi" w:cstheme="majorBidi"/>
                <w:color w:val="EFC812"/>
              </w:rPr>
            </w:pPr>
            <w:bookmarkStart w:id="11" w:name="_Toc128041987"/>
            <w:r w:rsidRPr="00FE17DF">
              <w:rPr>
                <w:rFonts w:asciiTheme="majorHAnsi" w:hAnsiTheme="majorHAnsi" w:cstheme="majorBidi"/>
                <w:color w:val="EFC812"/>
                <w:lang w:bidi="en-GB"/>
              </w:rPr>
              <w:t>Withholding tax. Change of the date of submission and validity of the original WHT-OSC [CIT-WHT] statement.</w:t>
            </w:r>
            <w:bookmarkEnd w:id="11"/>
          </w:p>
        </w:tc>
      </w:tr>
    </w:tbl>
    <w:p w14:paraId="5662C128" w14:textId="77777777" w:rsidR="00F1765C" w:rsidRDefault="273E1953" w:rsidP="2462E19B">
      <w:pPr>
        <w:spacing w:before="120" w:after="0" w:line="240" w:lineRule="auto"/>
        <w:jc w:val="both"/>
        <w:rPr>
          <w:rFonts w:asciiTheme="majorHAnsi" w:hAnsiTheme="majorHAnsi" w:cstheme="majorBidi"/>
          <w:lang w:bidi="en-GB"/>
        </w:rPr>
      </w:pPr>
      <w:r w:rsidRPr="2462E19B">
        <w:rPr>
          <w:rFonts w:asciiTheme="majorHAnsi" w:hAnsiTheme="majorHAnsi" w:cstheme="majorBidi"/>
          <w:lang w:bidi="en-GB"/>
        </w:rPr>
        <w:lastRenderedPageBreak/>
        <w:t>Pursuant to the wording of new provisions, the benefit should be submitted no later than on the last day of the second month following the month in which the limit of PLN 2 million is exceeded.</w:t>
      </w:r>
    </w:p>
    <w:p w14:paraId="042670C8" w14:textId="342DA6BF" w:rsidR="00244DBA" w:rsidRDefault="0BDC6EFD" w:rsidP="2462E19B">
      <w:pPr>
        <w:spacing w:before="120" w:after="0" w:line="240" w:lineRule="auto"/>
        <w:jc w:val="both"/>
        <w:rPr>
          <w:rFonts w:asciiTheme="majorHAnsi" w:hAnsiTheme="majorHAnsi" w:cstheme="majorBidi"/>
        </w:rPr>
      </w:pPr>
      <w:r w:rsidRPr="2462E19B">
        <w:rPr>
          <w:rFonts w:asciiTheme="majorHAnsi" w:hAnsiTheme="majorHAnsi" w:cstheme="majorBidi"/>
          <w:lang w:bidi="en-GB"/>
        </w:rPr>
        <w:t>If the remitter, after submitting the original statement, makes subsequent payments to the same counterparty, the preferential rules of withholding tax (on the basis of the first statement) may be applied by the remitter to the last day of the tax year in which the statement is made. The obligation to submit a follow-up statement arises only by the last day of the month following the end of the tax year.</w:t>
      </w:r>
    </w:p>
    <w:p w14:paraId="69CB74B1" w14:textId="3D488C9B" w:rsidR="00244DBA" w:rsidRPr="00133E6D" w:rsidRDefault="00244DBA" w:rsidP="00133E6D">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49283B" w:rsidRPr="0049283B" w14:paraId="609AFC19" w14:textId="77777777" w:rsidTr="001A32F6">
        <w:trPr>
          <w:trHeight w:val="523"/>
        </w:trPr>
        <w:tc>
          <w:tcPr>
            <w:tcW w:w="10211" w:type="dxa"/>
            <w:shd w:val="clear" w:color="auto" w:fill="444854"/>
          </w:tcPr>
          <w:p w14:paraId="02891944" w14:textId="76E037CC" w:rsidR="0049283B" w:rsidRPr="0049283B" w:rsidRDefault="0049283B" w:rsidP="0049283B">
            <w:pPr>
              <w:pStyle w:val="Styl1"/>
              <w:spacing w:before="120" w:after="120"/>
              <w:ind w:left="357" w:hanging="357"/>
              <w:rPr>
                <w:rFonts w:asciiTheme="majorHAnsi" w:hAnsiTheme="majorHAnsi" w:cstheme="majorBidi"/>
                <w:color w:val="EFC812"/>
              </w:rPr>
            </w:pPr>
            <w:bookmarkStart w:id="12" w:name="_Toc128041988"/>
            <w:r w:rsidRPr="0049283B">
              <w:rPr>
                <w:rFonts w:asciiTheme="majorHAnsi" w:hAnsiTheme="majorHAnsi" w:cstheme="majorBidi"/>
                <w:color w:val="EFC812"/>
                <w:lang w:bidi="en-GB"/>
              </w:rPr>
              <w:t>Selected amendments to transfer pricing regulations [CIT, PIT]</w:t>
            </w:r>
            <w:bookmarkEnd w:id="12"/>
          </w:p>
        </w:tc>
      </w:tr>
    </w:tbl>
    <w:p w14:paraId="6AD23360" w14:textId="18F20441" w:rsidR="79E03DEC" w:rsidRDefault="7A479145" w:rsidP="2462E19B">
      <w:pPr>
        <w:spacing w:before="120" w:after="0" w:line="240" w:lineRule="auto"/>
        <w:jc w:val="both"/>
        <w:rPr>
          <w:rFonts w:asciiTheme="majorHAnsi" w:hAnsiTheme="majorHAnsi" w:cstheme="majorBidi"/>
        </w:rPr>
      </w:pPr>
      <w:r w:rsidRPr="2462E19B">
        <w:rPr>
          <w:rFonts w:asciiTheme="majorHAnsi" w:hAnsiTheme="majorHAnsi" w:cstheme="majorBidi"/>
          <w:lang w:bidi="en-GB"/>
        </w:rPr>
        <w:t>The documentation thresholds for the local transfer pricing documentation have been raised:</w:t>
      </w:r>
    </w:p>
    <w:p w14:paraId="6A8CF35E" w14:textId="1799E5EB" w:rsidR="79E03DEC" w:rsidRDefault="7A479145" w:rsidP="2462E19B">
      <w:pPr>
        <w:spacing w:before="120" w:after="0" w:line="240" w:lineRule="auto"/>
        <w:jc w:val="both"/>
      </w:pPr>
      <w:r w:rsidRPr="2462E19B">
        <w:rPr>
          <w:rFonts w:asciiTheme="majorHAnsi" w:hAnsiTheme="majorHAnsi" w:cstheme="majorBidi"/>
          <w:lang w:bidi="en-GB"/>
        </w:rPr>
        <w:t>In the case of controlled transactions with an entity having their place of residence, registered office or management in the territory or in a country applying harmful tax competition or a foreign establishment situated in the territory or in a country applying harmful tax competition, the documentary threshold is:</w:t>
      </w:r>
    </w:p>
    <w:p w14:paraId="4C7C3B82" w14:textId="495973F6" w:rsidR="79E03DEC" w:rsidRPr="00E01BCC" w:rsidRDefault="7A479145" w:rsidP="00E01BCC">
      <w:pPr>
        <w:pStyle w:val="Akapitzlist"/>
        <w:numPr>
          <w:ilvl w:val="0"/>
          <w:numId w:val="19"/>
        </w:numPr>
        <w:spacing w:before="120"/>
        <w:jc w:val="both"/>
        <w:rPr>
          <w:sz w:val="22"/>
          <w:szCs w:val="22"/>
        </w:rPr>
      </w:pPr>
      <w:r w:rsidRPr="00E01BCC">
        <w:rPr>
          <w:rFonts w:asciiTheme="majorHAnsi" w:hAnsiTheme="majorHAnsi" w:cstheme="majorBidi"/>
          <w:sz w:val="22"/>
          <w:szCs w:val="22"/>
          <w:lang w:bidi="en-GB"/>
        </w:rPr>
        <w:t xml:space="preserve">PLN 2,500,000 </w:t>
      </w:r>
      <w:r w:rsidR="00160AD3">
        <w:rPr>
          <w:rFonts w:asciiTheme="majorHAnsi" w:hAnsiTheme="majorHAnsi" w:cstheme="majorBidi"/>
          <w:sz w:val="22"/>
          <w:szCs w:val="22"/>
          <w:lang w:bidi="en-GB"/>
        </w:rPr>
        <w:t>–</w:t>
      </w:r>
      <w:r w:rsidRPr="00E01BCC">
        <w:rPr>
          <w:rFonts w:asciiTheme="majorHAnsi" w:hAnsiTheme="majorHAnsi" w:cstheme="majorBidi"/>
          <w:sz w:val="22"/>
          <w:szCs w:val="22"/>
          <w:lang w:bidi="en-GB"/>
        </w:rPr>
        <w:t xml:space="preserve"> in the case of financial transaction;</w:t>
      </w:r>
    </w:p>
    <w:p w14:paraId="18963BC1" w14:textId="4C733D49" w:rsidR="79E03DEC" w:rsidRPr="00E01BCC" w:rsidRDefault="7A479145" w:rsidP="00E01BCC">
      <w:pPr>
        <w:pStyle w:val="Akapitzlist"/>
        <w:numPr>
          <w:ilvl w:val="0"/>
          <w:numId w:val="19"/>
        </w:numPr>
        <w:spacing w:before="120"/>
        <w:jc w:val="both"/>
        <w:rPr>
          <w:sz w:val="22"/>
          <w:szCs w:val="22"/>
        </w:rPr>
      </w:pPr>
      <w:r w:rsidRPr="00E01BCC">
        <w:rPr>
          <w:rFonts w:asciiTheme="majorHAnsi" w:hAnsiTheme="majorHAnsi" w:cstheme="majorBidi"/>
          <w:sz w:val="22"/>
          <w:szCs w:val="22"/>
          <w:lang w:bidi="en-GB"/>
        </w:rPr>
        <w:t xml:space="preserve">PLN 500,000 </w:t>
      </w:r>
      <w:r w:rsidR="00160AD3">
        <w:rPr>
          <w:rFonts w:asciiTheme="majorHAnsi" w:hAnsiTheme="majorHAnsi" w:cstheme="majorBidi"/>
          <w:sz w:val="22"/>
          <w:szCs w:val="22"/>
          <w:lang w:bidi="en-GB"/>
        </w:rPr>
        <w:t>–</w:t>
      </w:r>
      <w:r w:rsidRPr="00E01BCC">
        <w:rPr>
          <w:rFonts w:asciiTheme="majorHAnsi" w:hAnsiTheme="majorHAnsi" w:cstheme="majorBidi"/>
          <w:sz w:val="22"/>
          <w:szCs w:val="22"/>
          <w:lang w:bidi="en-GB"/>
        </w:rPr>
        <w:t xml:space="preserve"> in the case of a transaction other than a financial transaction.</w:t>
      </w:r>
    </w:p>
    <w:p w14:paraId="7A759BCC" w14:textId="35136751" w:rsidR="79E03DEC" w:rsidRDefault="7A479145" w:rsidP="2462E19B">
      <w:pPr>
        <w:spacing w:before="120" w:after="0" w:line="240" w:lineRule="auto"/>
        <w:jc w:val="both"/>
      </w:pPr>
      <w:r w:rsidRPr="2462E19B">
        <w:rPr>
          <w:rFonts w:asciiTheme="majorHAnsi" w:hAnsiTheme="majorHAnsi" w:cstheme="majorBidi"/>
          <w:lang w:bidi="en-GB"/>
        </w:rPr>
        <w:t>The local transfer pricing documentation must also be prepared by taxpayers and companies that are not legal persons carrying out a transaction, other than a controlled transaction, with an entity having a place of residence, registered office or management in the territory or in a country applying harmful tax competition or a foreign establishment situated in the territory or in a country applying harmful tax competition, if the value of this transaction for the tax year and, in the case of companies other than legal persons, for the financial year exceeds:</w:t>
      </w:r>
    </w:p>
    <w:p w14:paraId="645A9200" w14:textId="1A164CE3" w:rsidR="00E01BCC" w:rsidRPr="00E01BCC" w:rsidRDefault="00E01BCC" w:rsidP="00E01BCC">
      <w:pPr>
        <w:pStyle w:val="Akapitzlist"/>
        <w:numPr>
          <w:ilvl w:val="0"/>
          <w:numId w:val="19"/>
        </w:numPr>
        <w:spacing w:before="120"/>
        <w:jc w:val="both"/>
        <w:rPr>
          <w:sz w:val="22"/>
          <w:szCs w:val="22"/>
        </w:rPr>
      </w:pPr>
      <w:r w:rsidRPr="00E01BCC">
        <w:rPr>
          <w:rFonts w:asciiTheme="majorHAnsi" w:hAnsiTheme="majorHAnsi" w:cstheme="majorBidi"/>
          <w:sz w:val="22"/>
          <w:szCs w:val="22"/>
          <w:lang w:bidi="en-GB"/>
        </w:rPr>
        <w:t xml:space="preserve">PLN 2,500,000 </w:t>
      </w:r>
      <w:r w:rsidR="00160AD3">
        <w:rPr>
          <w:rFonts w:asciiTheme="majorHAnsi" w:hAnsiTheme="majorHAnsi" w:cstheme="majorBidi"/>
          <w:sz w:val="22"/>
          <w:szCs w:val="22"/>
          <w:lang w:bidi="en-GB"/>
        </w:rPr>
        <w:t>–</w:t>
      </w:r>
      <w:r w:rsidRPr="00E01BCC">
        <w:rPr>
          <w:rFonts w:asciiTheme="majorHAnsi" w:hAnsiTheme="majorHAnsi" w:cstheme="majorBidi"/>
          <w:sz w:val="22"/>
          <w:szCs w:val="22"/>
          <w:lang w:bidi="en-GB"/>
        </w:rPr>
        <w:t xml:space="preserve"> in the case of financial transaction;</w:t>
      </w:r>
    </w:p>
    <w:p w14:paraId="01A000C4" w14:textId="1218FD65" w:rsidR="00E01BCC" w:rsidRPr="00E01BCC" w:rsidRDefault="00E01BCC" w:rsidP="00E01BCC">
      <w:pPr>
        <w:pStyle w:val="Akapitzlist"/>
        <w:numPr>
          <w:ilvl w:val="0"/>
          <w:numId w:val="19"/>
        </w:numPr>
        <w:spacing w:before="120"/>
        <w:jc w:val="both"/>
        <w:rPr>
          <w:sz w:val="22"/>
          <w:szCs w:val="22"/>
        </w:rPr>
      </w:pPr>
      <w:r w:rsidRPr="00E01BCC">
        <w:rPr>
          <w:rFonts w:asciiTheme="majorHAnsi" w:hAnsiTheme="majorHAnsi" w:cstheme="majorBidi"/>
          <w:sz w:val="22"/>
          <w:szCs w:val="22"/>
          <w:lang w:bidi="en-GB"/>
        </w:rPr>
        <w:t xml:space="preserve">PLN 500,000 </w:t>
      </w:r>
      <w:r w:rsidR="00160AD3">
        <w:rPr>
          <w:rFonts w:asciiTheme="majorHAnsi" w:hAnsiTheme="majorHAnsi" w:cstheme="majorBidi"/>
          <w:sz w:val="22"/>
          <w:szCs w:val="22"/>
          <w:lang w:bidi="en-GB"/>
        </w:rPr>
        <w:t>–</w:t>
      </w:r>
      <w:r w:rsidRPr="00E01BCC">
        <w:rPr>
          <w:rFonts w:asciiTheme="majorHAnsi" w:hAnsiTheme="majorHAnsi" w:cstheme="majorBidi"/>
          <w:sz w:val="22"/>
          <w:szCs w:val="22"/>
          <w:lang w:bidi="en-GB"/>
        </w:rPr>
        <w:t xml:space="preserve"> in the case of a transaction other than a financial transaction.</w:t>
      </w:r>
    </w:p>
    <w:p w14:paraId="1ECDC8A5" w14:textId="70372417" w:rsidR="79E03DEC" w:rsidRDefault="7A479145" w:rsidP="2462E19B">
      <w:pPr>
        <w:spacing w:before="120" w:after="0" w:line="240" w:lineRule="auto"/>
        <w:jc w:val="both"/>
      </w:pPr>
      <w:r w:rsidRPr="2462E19B">
        <w:rPr>
          <w:rFonts w:asciiTheme="majorHAnsi" w:hAnsiTheme="majorHAnsi" w:cstheme="majorBidi"/>
          <w:lang w:bidi="en-GB"/>
        </w:rPr>
        <w:t>The provisions of Article 11o(1a) and (1b) of the CIT Act have been repealed. They stated that local transfer pricing documentation must be prepared by taxpayers and companies that are not legal persons carrying out a controlled transaction or a transaction other than a controlled transaction if the beneficial owner has their place of residence, registered office or management in the territory or in a country applying harmful tax competition and the value of that transaction for the tax year and, in the case of companies not being legal persons, for the financial year, exceeds PLN 500,000.</w:t>
      </w:r>
    </w:p>
    <w:p w14:paraId="58A85229" w14:textId="0BF41EBF" w:rsidR="79E03DEC" w:rsidRDefault="7A479145" w:rsidP="2462E19B">
      <w:pPr>
        <w:spacing w:before="120" w:after="0" w:line="240" w:lineRule="auto"/>
        <w:jc w:val="both"/>
        <w:rPr>
          <w:rFonts w:asciiTheme="majorHAnsi" w:hAnsiTheme="majorHAnsi" w:cstheme="majorBidi"/>
        </w:rPr>
      </w:pPr>
      <w:r w:rsidRPr="2462E19B">
        <w:rPr>
          <w:rFonts w:asciiTheme="majorHAnsi" w:hAnsiTheme="majorHAnsi" w:cstheme="majorBidi"/>
          <w:lang w:bidi="en-GB"/>
        </w:rPr>
        <w:t>Pursuant to the wording given by the Act of 7 October 2022 amending the Corporate Income Tax Act and certain other acts, in the case of controlled transactions and transactions, other than controlled transactions, with an entity having a place of residence, registered office or management in the territory or in a country applying harmful tax competition, the above-mentioned provisions apply to those transactions initiated and not completed before 1 January 2021 in respect of that part of those transactions which are carried out in the tax year starting after 31 December 2020 or commenced after 31 December 2020.</w:t>
      </w:r>
    </w:p>
    <w:p w14:paraId="03749B00" w14:textId="1E736F13" w:rsidR="79E03DEC" w:rsidRPr="00133E6D" w:rsidRDefault="79E03DEC" w:rsidP="00133E6D">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D70B73" w:rsidRPr="00170DCB" w14:paraId="7C88B1CF" w14:textId="77777777" w:rsidTr="00E0234E">
        <w:tc>
          <w:tcPr>
            <w:tcW w:w="10211" w:type="dxa"/>
            <w:shd w:val="clear" w:color="auto" w:fill="444854"/>
          </w:tcPr>
          <w:p w14:paraId="1799A62C" w14:textId="77777777" w:rsidR="00D70B73" w:rsidRPr="00170DCB" w:rsidRDefault="00D70B73" w:rsidP="00D70B73">
            <w:pPr>
              <w:pStyle w:val="Styl1"/>
              <w:spacing w:before="120" w:after="120"/>
              <w:ind w:left="357" w:hanging="357"/>
              <w:rPr>
                <w:rFonts w:asciiTheme="majorHAnsi" w:hAnsiTheme="majorHAnsi" w:cstheme="majorHAnsi"/>
                <w:color w:val="EFC812"/>
                <w:szCs w:val="22"/>
              </w:rPr>
            </w:pPr>
            <w:bookmarkStart w:id="13" w:name="_Toc128041989"/>
            <w:r w:rsidRPr="79E03DEC">
              <w:rPr>
                <w:rFonts w:asciiTheme="majorHAnsi" w:hAnsiTheme="majorHAnsi" w:cstheme="majorBidi"/>
                <w:color w:val="EFC812"/>
                <w:lang w:bidi="en-GB"/>
              </w:rPr>
              <w:t>VAT group</w:t>
            </w:r>
            <w:bookmarkEnd w:id="13"/>
          </w:p>
        </w:tc>
      </w:tr>
    </w:tbl>
    <w:p w14:paraId="78774A44" w14:textId="77777777" w:rsidR="00F1765C" w:rsidRDefault="0079474C" w:rsidP="00D70B73">
      <w:pPr>
        <w:suppressAutoHyphens w:val="0"/>
        <w:autoSpaceDN/>
        <w:spacing w:before="120" w:after="0" w:line="240" w:lineRule="auto"/>
        <w:jc w:val="both"/>
        <w:textAlignment w:val="auto"/>
        <w:rPr>
          <w:rFonts w:asciiTheme="majorHAnsi" w:hAnsiTheme="majorHAnsi" w:cstheme="majorHAnsi"/>
          <w:b/>
          <w:lang w:bidi="en-GB"/>
        </w:rPr>
      </w:pPr>
      <w:r>
        <w:rPr>
          <w:rFonts w:asciiTheme="majorHAnsi" w:hAnsiTheme="majorHAnsi" w:cstheme="majorHAnsi"/>
          <w:b/>
          <w:lang w:bidi="en-GB"/>
        </w:rPr>
        <w:t>With effect as of 01/01/2023, provisions allowing the establishment of a VAT Group are introduced – chapter 2b of the Value Added Tax Act. Originally in accordance with the regulations of the Polish Deal (Polski Ład), the amendments were to enter into force on 01/07/2022. At the initiative of the Ministry of Finance, the above-mentioned deadline was postponed.</w:t>
      </w:r>
    </w:p>
    <w:p w14:paraId="407D263C" w14:textId="77777777" w:rsidR="00F1765C" w:rsidRDefault="00D70B73" w:rsidP="00D70B73">
      <w:pPr>
        <w:suppressAutoHyphens w:val="0"/>
        <w:autoSpaceDN/>
        <w:spacing w:before="120" w:after="0" w:line="240" w:lineRule="auto"/>
        <w:jc w:val="both"/>
        <w:textAlignment w:val="auto"/>
        <w:rPr>
          <w:rFonts w:asciiTheme="majorHAnsi" w:hAnsiTheme="majorHAnsi" w:cstheme="majorHAnsi"/>
          <w:lang w:bidi="en-GB"/>
        </w:rPr>
      </w:pPr>
      <w:r w:rsidRPr="00170DCB">
        <w:rPr>
          <w:rFonts w:asciiTheme="majorHAnsi" w:hAnsiTheme="majorHAnsi" w:cstheme="majorHAnsi"/>
          <w:lang w:bidi="en-GB"/>
        </w:rPr>
        <w:t>The VAT Group is a group of financially, economically and organisationally related entities registered as a taxpayer. The Group is established for a minimum period of 3 years and the Representative represents the VAT group in terms of its rights and obligations.</w:t>
      </w:r>
    </w:p>
    <w:p w14:paraId="132F3A4B" w14:textId="77777777" w:rsidR="00F1765C" w:rsidRDefault="00D70B73" w:rsidP="00D70B73">
      <w:pPr>
        <w:suppressAutoHyphens w:val="0"/>
        <w:autoSpaceDN/>
        <w:spacing w:before="120" w:after="0" w:line="240" w:lineRule="auto"/>
        <w:jc w:val="both"/>
        <w:textAlignment w:val="auto"/>
        <w:rPr>
          <w:rFonts w:asciiTheme="majorHAnsi" w:hAnsiTheme="majorHAnsi" w:cstheme="majorHAnsi"/>
          <w:lang w:bidi="en-GB"/>
        </w:rPr>
      </w:pPr>
      <w:r w:rsidRPr="00170DCB">
        <w:rPr>
          <w:rFonts w:asciiTheme="majorHAnsi" w:hAnsiTheme="majorHAnsi" w:cstheme="majorHAnsi"/>
          <w:lang w:bidi="en-GB"/>
        </w:rPr>
        <w:t>Taxpayers are financially related if one of the taxpayers (Group members) owns directly 50% of the shares or voting rights/share in the profit of each of the other members. Economic relation exists when the object of business activities of the Group members is of the same nature, types of activities are complementary, interdependent or the Group member conducts an activity from which to other members of the Group benefit to a large or full extent. The organisational relation arises from the fact of joint management – directly or indirectly or from the organisation of activities agreed in whole or in part.</w:t>
      </w:r>
    </w:p>
    <w:p w14:paraId="34A921A6" w14:textId="77777777" w:rsidR="00F1765C" w:rsidRDefault="00D70B73" w:rsidP="00D70B73">
      <w:pPr>
        <w:suppressAutoHyphens w:val="0"/>
        <w:autoSpaceDN/>
        <w:spacing w:before="120" w:after="0" w:line="240" w:lineRule="auto"/>
        <w:jc w:val="both"/>
        <w:textAlignment w:val="auto"/>
        <w:rPr>
          <w:rFonts w:asciiTheme="majorHAnsi" w:hAnsiTheme="majorHAnsi" w:cstheme="majorHAnsi"/>
          <w:lang w:bidi="en-GB"/>
        </w:rPr>
      </w:pPr>
      <w:r w:rsidRPr="00170DCB">
        <w:rPr>
          <w:rFonts w:asciiTheme="majorHAnsi" w:hAnsiTheme="majorHAnsi" w:cstheme="majorHAnsi"/>
          <w:lang w:bidi="en-GB"/>
        </w:rPr>
        <w:t>The above-mentioned condition of relations between members of the group must be met throughout the duration of the group (the group must have the status of a taxpayer).</w:t>
      </w:r>
    </w:p>
    <w:p w14:paraId="5F9B96CC" w14:textId="15DC0499" w:rsidR="00D70B73" w:rsidRPr="00170DCB" w:rsidRDefault="00133E6D" w:rsidP="00D70B73">
      <w:pPr>
        <w:suppressAutoHyphens w:val="0"/>
        <w:autoSpaceDN/>
        <w:spacing w:before="120" w:after="0" w:line="240" w:lineRule="auto"/>
        <w:jc w:val="both"/>
        <w:textAlignment w:val="auto"/>
        <w:rPr>
          <w:rFonts w:asciiTheme="majorHAnsi" w:hAnsiTheme="majorHAnsi" w:cstheme="majorHAnsi"/>
        </w:rPr>
      </w:pPr>
      <w:r>
        <w:rPr>
          <w:rFonts w:asciiTheme="majorHAnsi" w:hAnsiTheme="majorHAnsi" w:cstheme="majorHAnsi"/>
          <w:lang w:bidi="en-GB"/>
        </w:rPr>
        <w:t>In a VAT group, the supply of goods and the provision of services by a group member to another member is not subject to VAT.</w:t>
      </w:r>
    </w:p>
    <w:p w14:paraId="6288A648" w14:textId="77777777" w:rsidR="00F1765C" w:rsidRDefault="00D70B73" w:rsidP="00D70B73">
      <w:pPr>
        <w:suppressAutoHyphens w:val="0"/>
        <w:autoSpaceDN/>
        <w:spacing w:before="120" w:after="0" w:line="240" w:lineRule="auto"/>
        <w:jc w:val="both"/>
        <w:textAlignment w:val="auto"/>
        <w:rPr>
          <w:rFonts w:asciiTheme="majorHAnsi" w:hAnsiTheme="majorHAnsi" w:cstheme="majorHAnsi"/>
          <w:lang w:bidi="en-GB"/>
        </w:rPr>
      </w:pPr>
      <w:r w:rsidRPr="00170DCB">
        <w:rPr>
          <w:rFonts w:asciiTheme="majorHAnsi" w:hAnsiTheme="majorHAnsi" w:cstheme="majorHAnsi"/>
          <w:lang w:bidi="en-GB"/>
        </w:rPr>
        <w:t>The authority competent for the group is the head of the tax office competent for the representative.</w:t>
      </w:r>
    </w:p>
    <w:p w14:paraId="10C4DEF0" w14:textId="77777777" w:rsidR="00F1765C" w:rsidRDefault="00D70B73" w:rsidP="00D70B73">
      <w:pPr>
        <w:suppressAutoHyphens w:val="0"/>
        <w:autoSpaceDN/>
        <w:spacing w:before="120" w:after="0" w:line="240" w:lineRule="auto"/>
        <w:jc w:val="both"/>
        <w:textAlignment w:val="auto"/>
        <w:rPr>
          <w:rFonts w:asciiTheme="majorHAnsi" w:hAnsiTheme="majorHAnsi" w:cstheme="majorHAnsi"/>
          <w:lang w:bidi="en-GB"/>
        </w:rPr>
      </w:pPr>
      <w:r w:rsidRPr="00170DCB">
        <w:rPr>
          <w:rFonts w:asciiTheme="majorHAnsi" w:hAnsiTheme="majorHAnsi" w:cstheme="majorHAnsi"/>
          <w:lang w:bidi="en-GB"/>
        </w:rPr>
        <w:t>The entity may be a member of only one VAT group.</w:t>
      </w:r>
    </w:p>
    <w:p w14:paraId="01BD6156" w14:textId="2F5FFEF6" w:rsidR="00D70B73" w:rsidRPr="00170DCB" w:rsidRDefault="00D70B73" w:rsidP="00D70B73">
      <w:pPr>
        <w:suppressAutoHyphens w:val="0"/>
        <w:autoSpaceDN/>
        <w:spacing w:before="120" w:after="0" w:line="240" w:lineRule="auto"/>
        <w:jc w:val="both"/>
        <w:textAlignment w:val="auto"/>
        <w:rPr>
          <w:rFonts w:asciiTheme="majorHAnsi" w:hAnsiTheme="majorHAnsi" w:cstheme="majorHAnsi"/>
        </w:rPr>
      </w:pPr>
      <w:r w:rsidRPr="00170DCB">
        <w:rPr>
          <w:rFonts w:asciiTheme="majorHAnsi" w:hAnsiTheme="majorHAnsi" w:cstheme="majorHAnsi"/>
          <w:lang w:bidi="en-GB"/>
        </w:rPr>
        <w:t xml:space="preserve">Members of a VAT group are jointly and severally liable for their VAT obligations both during the possession of the group status and after its expiry. </w:t>
      </w: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D70B73" w:rsidRPr="00170DCB" w14:paraId="53239413" w14:textId="77777777" w:rsidTr="00E0234E">
        <w:tc>
          <w:tcPr>
            <w:tcW w:w="10211" w:type="dxa"/>
            <w:shd w:val="clear" w:color="auto" w:fill="444854"/>
          </w:tcPr>
          <w:p w14:paraId="58626E05" w14:textId="2A4AB2EA" w:rsidR="00D70B73" w:rsidRPr="00170DCB" w:rsidRDefault="002B7049" w:rsidP="00D70B73">
            <w:pPr>
              <w:pStyle w:val="Styl1"/>
              <w:spacing w:before="120" w:after="120"/>
              <w:ind w:left="357" w:hanging="357"/>
              <w:rPr>
                <w:rFonts w:asciiTheme="majorHAnsi" w:hAnsiTheme="majorHAnsi" w:cstheme="majorHAnsi"/>
                <w:szCs w:val="22"/>
              </w:rPr>
            </w:pPr>
            <w:bookmarkStart w:id="14" w:name="_Toc128041990"/>
            <w:r>
              <w:rPr>
                <w:rFonts w:asciiTheme="majorHAnsi" w:hAnsiTheme="majorHAnsi" w:cstheme="majorBidi"/>
                <w:color w:val="EFC812"/>
                <w:lang w:bidi="en-GB"/>
              </w:rPr>
              <w:t>Change of tax rates [VAT]</w:t>
            </w:r>
            <w:bookmarkEnd w:id="14"/>
          </w:p>
        </w:tc>
      </w:tr>
    </w:tbl>
    <w:p w14:paraId="5BDB60A8" w14:textId="03724E3E" w:rsidR="00F1765C" w:rsidRDefault="002B7049" w:rsidP="00D70B73">
      <w:pPr>
        <w:suppressAutoHyphens w:val="0"/>
        <w:autoSpaceDN/>
        <w:spacing w:before="120" w:after="0" w:line="240" w:lineRule="auto"/>
        <w:jc w:val="both"/>
        <w:textAlignment w:val="auto"/>
        <w:rPr>
          <w:rFonts w:asciiTheme="majorHAnsi" w:hAnsiTheme="majorHAnsi" w:cstheme="majorHAnsi"/>
          <w:lang w:bidi="en-GB"/>
        </w:rPr>
      </w:pPr>
      <w:r>
        <w:rPr>
          <w:rFonts w:asciiTheme="majorHAnsi" w:hAnsiTheme="majorHAnsi" w:cstheme="majorHAnsi"/>
          <w:lang w:bidi="en-GB"/>
        </w:rPr>
        <w:t xml:space="preserve">The basic rate of VAT is restored on 01/01/2023 </w:t>
      </w:r>
      <w:r w:rsidR="00160AD3">
        <w:rPr>
          <w:rFonts w:asciiTheme="majorHAnsi" w:hAnsiTheme="majorHAnsi" w:cstheme="majorHAnsi"/>
          <w:lang w:bidi="en-GB"/>
        </w:rPr>
        <w:t>–</w:t>
      </w:r>
      <w:r>
        <w:rPr>
          <w:rFonts w:asciiTheme="majorHAnsi" w:hAnsiTheme="majorHAnsi" w:cstheme="majorHAnsi"/>
          <w:lang w:bidi="en-GB"/>
        </w:rPr>
        <w:t xml:space="preserve"> 23%, for example, for the supply of electricity and heat (change from 5%) and motor fuels (change from 8%). In addition, the rate of 0% for the delivery of selected food products is extended to 30/06/2023.</w:t>
      </w:r>
    </w:p>
    <w:p w14:paraId="3DC9C942" w14:textId="6BA9602C" w:rsidR="00A80F3A" w:rsidRDefault="00A80F3A" w:rsidP="00D70B73">
      <w:pPr>
        <w:suppressAutoHyphens w:val="0"/>
        <w:autoSpaceDN/>
        <w:spacing w:before="120" w:after="0" w:line="240" w:lineRule="auto"/>
        <w:jc w:val="both"/>
        <w:textAlignment w:val="auto"/>
        <w:rPr>
          <w:rFonts w:asciiTheme="majorHAnsi" w:hAnsiTheme="majorHAnsi" w:cstheme="majorHAnsi"/>
        </w:rPr>
      </w:pPr>
    </w:p>
    <w:p w14:paraId="367B1FFE" w14:textId="77777777" w:rsidR="00D70B73" w:rsidRPr="00133E6D" w:rsidRDefault="00D70B73" w:rsidP="00133E6D">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D70B73" w:rsidRPr="00DF0AC4" w14:paraId="55372D1C" w14:textId="77777777" w:rsidTr="00E0234E">
        <w:tc>
          <w:tcPr>
            <w:tcW w:w="10211" w:type="dxa"/>
            <w:shd w:val="clear" w:color="auto" w:fill="444854"/>
          </w:tcPr>
          <w:p w14:paraId="2C8714D6" w14:textId="6C58D8F8" w:rsidR="00D70B73" w:rsidRPr="00DF0AC4" w:rsidRDefault="0075482E" w:rsidP="00D70B73">
            <w:pPr>
              <w:pStyle w:val="Styl1"/>
              <w:spacing w:before="120" w:after="120"/>
              <w:ind w:left="357" w:hanging="357"/>
              <w:rPr>
                <w:rFonts w:asciiTheme="majorHAnsi" w:hAnsiTheme="majorHAnsi" w:cstheme="majorHAnsi"/>
                <w:color w:val="EFC812"/>
                <w:szCs w:val="22"/>
              </w:rPr>
            </w:pPr>
            <w:bookmarkStart w:id="15" w:name="_Toc128041991"/>
            <w:r w:rsidRPr="00DF0AC4">
              <w:rPr>
                <w:rFonts w:asciiTheme="majorHAnsi" w:hAnsiTheme="majorHAnsi" w:cstheme="majorHAnsi"/>
                <w:color w:val="EFC812"/>
                <w:szCs w:val="22"/>
                <w:lang w:bidi="en-GB"/>
              </w:rPr>
              <w:t>SLIM VAT 3 – proposed changes from 1 April 2023 [VAT]</w:t>
            </w:r>
            <w:bookmarkEnd w:id="15"/>
          </w:p>
        </w:tc>
      </w:tr>
    </w:tbl>
    <w:p w14:paraId="6DAEE5A0" w14:textId="374F7566" w:rsidR="0075482E" w:rsidRDefault="0075482E" w:rsidP="00D70B73">
      <w:pPr>
        <w:suppressAutoHyphens w:val="0"/>
        <w:autoSpaceDN/>
        <w:spacing w:before="120" w:after="120" w:line="240" w:lineRule="auto"/>
        <w:jc w:val="both"/>
        <w:textAlignment w:val="auto"/>
        <w:rPr>
          <w:rFonts w:asciiTheme="majorHAnsi" w:hAnsiTheme="majorHAnsi" w:cstheme="majorHAnsi"/>
        </w:rPr>
      </w:pPr>
      <w:r>
        <w:rPr>
          <w:rFonts w:asciiTheme="majorHAnsi" w:hAnsiTheme="majorHAnsi" w:cstheme="majorHAnsi"/>
          <w:lang w:bidi="en-GB"/>
        </w:rPr>
        <w:t>As at the date of this information, legislative works on the “SLIM VAT 3” package are in progress. The changes are planned to be introduced on 1 April 2023. We would like to list the following changes from among the key ones:</w:t>
      </w:r>
    </w:p>
    <w:p w14:paraId="4959AA91" w14:textId="4B1875B9" w:rsidR="002D330F" w:rsidRDefault="00133E6D">
      <w:pPr>
        <w:pStyle w:val="Akapitzlist"/>
        <w:numPr>
          <w:ilvl w:val="0"/>
          <w:numId w:val="17"/>
        </w:numPr>
        <w:spacing w:before="120" w:after="120"/>
        <w:jc w:val="both"/>
        <w:rPr>
          <w:rFonts w:asciiTheme="majorHAnsi" w:hAnsiTheme="majorHAnsi" w:cstheme="majorHAnsi"/>
          <w:sz w:val="22"/>
          <w:szCs w:val="22"/>
        </w:rPr>
      </w:pPr>
      <w:r>
        <w:rPr>
          <w:rFonts w:asciiTheme="majorHAnsi" w:hAnsiTheme="majorHAnsi" w:cstheme="majorHAnsi"/>
          <w:sz w:val="22"/>
          <w:szCs w:val="22"/>
          <w:lang w:bidi="en-GB"/>
        </w:rPr>
        <w:t>change of the date of settlement of the intra-Community supply of goods (WDT) in the event of the failure to collect the required documentation prior to the submission of JPK_V7M/VAT-UE for the period in which the tax obligation arose. The proposed changes are intended to simplify the adjustment of transactions – the taxpayer will have the right to demonstrate the WDT in the period when the tax obligation arises, i.e. in principle, at the moment of issuing the invoice;</w:t>
      </w:r>
    </w:p>
    <w:p w14:paraId="44918550" w14:textId="7F1E55F8" w:rsidR="00D32D05" w:rsidRDefault="00133E6D">
      <w:pPr>
        <w:pStyle w:val="Akapitzlist"/>
        <w:numPr>
          <w:ilvl w:val="0"/>
          <w:numId w:val="17"/>
        </w:numPr>
        <w:spacing w:before="120" w:after="120"/>
        <w:jc w:val="both"/>
        <w:rPr>
          <w:rFonts w:asciiTheme="majorHAnsi" w:hAnsiTheme="majorHAnsi" w:cstheme="majorHAnsi"/>
          <w:sz w:val="22"/>
          <w:szCs w:val="22"/>
        </w:rPr>
      </w:pPr>
      <w:r>
        <w:rPr>
          <w:rFonts w:asciiTheme="majorHAnsi" w:hAnsiTheme="majorHAnsi" w:cstheme="majorHAnsi"/>
          <w:sz w:val="22"/>
          <w:szCs w:val="22"/>
          <w:lang w:bidi="en-GB"/>
        </w:rPr>
        <w:t>changes in the rules of settlement of the intra-Community acquisition of goods(WNT) in the scope of tax neutrality. A formal premise of deduction of input tax – receipt of the invoice is no longer valid, moreover, WNT adjustments are fully neutral (the output tax and input tax in the same period);</w:t>
      </w:r>
    </w:p>
    <w:p w14:paraId="2FFA6094" w14:textId="001ED529" w:rsidR="00466E61" w:rsidRDefault="00133E6D">
      <w:pPr>
        <w:pStyle w:val="Akapitzlist"/>
        <w:numPr>
          <w:ilvl w:val="0"/>
          <w:numId w:val="17"/>
        </w:numPr>
        <w:spacing w:before="120" w:after="120"/>
        <w:jc w:val="both"/>
        <w:rPr>
          <w:rFonts w:asciiTheme="majorHAnsi" w:hAnsiTheme="majorHAnsi" w:cstheme="majorHAnsi"/>
          <w:sz w:val="22"/>
          <w:szCs w:val="22"/>
        </w:rPr>
      </w:pPr>
      <w:r>
        <w:rPr>
          <w:rFonts w:asciiTheme="majorHAnsi" w:hAnsiTheme="majorHAnsi" w:cstheme="majorHAnsi"/>
          <w:sz w:val="22"/>
          <w:szCs w:val="22"/>
          <w:lang w:bidi="en-GB"/>
        </w:rPr>
        <w:t xml:space="preserve">currency exchange rates for corrective invoices. For both plus and minus adjustments, as a rule, the exchange rate adopted for the original transaction will be used. The proposed regulations also provide for the adjustment of more than one invoice at the same time. The exchange rate is the exchange rate on the business day preceding the date of issue of the corrective invoice (collective invoice). At the same time, if the entity uses exchange rates for VAT purposes that are in line with the rules for income tax purposes </w:t>
      </w:r>
      <w:r w:rsidR="00160AD3">
        <w:rPr>
          <w:rFonts w:asciiTheme="majorHAnsi" w:hAnsiTheme="majorHAnsi" w:cstheme="majorHAnsi"/>
          <w:sz w:val="22"/>
          <w:szCs w:val="22"/>
          <w:lang w:bidi="en-GB"/>
        </w:rPr>
        <w:t>–</w:t>
      </w:r>
      <w:r>
        <w:rPr>
          <w:rFonts w:asciiTheme="majorHAnsi" w:hAnsiTheme="majorHAnsi" w:cstheme="majorHAnsi"/>
          <w:sz w:val="22"/>
          <w:szCs w:val="22"/>
          <w:lang w:bidi="en-GB"/>
        </w:rPr>
        <w:t xml:space="preserve"> it does not change the exchange rate used to date;</w:t>
      </w:r>
    </w:p>
    <w:p w14:paraId="565658C3" w14:textId="77777777" w:rsidR="00F1765C" w:rsidRDefault="00133E6D">
      <w:pPr>
        <w:pStyle w:val="Akapitzlist"/>
        <w:numPr>
          <w:ilvl w:val="0"/>
          <w:numId w:val="17"/>
        </w:numPr>
        <w:spacing w:before="120" w:after="120"/>
        <w:jc w:val="both"/>
        <w:rPr>
          <w:rFonts w:asciiTheme="majorHAnsi" w:hAnsiTheme="majorHAnsi" w:cstheme="majorHAnsi"/>
          <w:sz w:val="22"/>
          <w:szCs w:val="22"/>
          <w:lang w:bidi="en-GB"/>
        </w:rPr>
      </w:pPr>
      <w:r>
        <w:rPr>
          <w:rFonts w:asciiTheme="majorHAnsi" w:hAnsiTheme="majorHAnsi" w:cstheme="majorHAnsi"/>
          <w:sz w:val="22"/>
          <w:szCs w:val="22"/>
          <w:lang w:bidi="en-GB"/>
        </w:rPr>
        <w:t>increase of the amount limit for determining the status of a small taxpayer from EUR 1,200,000 to EUR 2,000,000;</w:t>
      </w:r>
    </w:p>
    <w:p w14:paraId="7A62BFD0" w14:textId="0A1803CC" w:rsidR="00E23C2C" w:rsidRDefault="00133E6D">
      <w:pPr>
        <w:pStyle w:val="Akapitzlist"/>
        <w:numPr>
          <w:ilvl w:val="0"/>
          <w:numId w:val="17"/>
        </w:numPr>
        <w:spacing w:before="120" w:after="120"/>
        <w:jc w:val="both"/>
        <w:rPr>
          <w:rFonts w:asciiTheme="majorHAnsi" w:hAnsiTheme="majorHAnsi" w:cstheme="majorHAnsi"/>
          <w:sz w:val="22"/>
          <w:szCs w:val="22"/>
        </w:rPr>
      </w:pPr>
      <w:r>
        <w:rPr>
          <w:rFonts w:asciiTheme="majorHAnsi" w:hAnsiTheme="majorHAnsi" w:cstheme="majorHAnsi"/>
          <w:sz w:val="22"/>
          <w:szCs w:val="22"/>
          <w:lang w:bidi="en-GB"/>
        </w:rPr>
        <w:t>extension of the list of possible payments from the VAT account, e.g. fees from foodstuffs, retail sale, resulting from the Act on raising in the sobriety (...), the tax on minerals;</w:t>
      </w:r>
    </w:p>
    <w:p w14:paraId="4DDD6685" w14:textId="0ABF7503" w:rsidR="00270781" w:rsidRDefault="00133E6D">
      <w:pPr>
        <w:pStyle w:val="Akapitzlist"/>
        <w:numPr>
          <w:ilvl w:val="0"/>
          <w:numId w:val="17"/>
        </w:numPr>
        <w:spacing w:before="120" w:after="120"/>
        <w:jc w:val="both"/>
        <w:rPr>
          <w:rFonts w:asciiTheme="majorHAnsi" w:hAnsiTheme="majorHAnsi" w:cstheme="majorHAnsi"/>
          <w:sz w:val="22"/>
          <w:szCs w:val="22"/>
        </w:rPr>
      </w:pPr>
      <w:r>
        <w:rPr>
          <w:rFonts w:asciiTheme="majorHAnsi" w:hAnsiTheme="majorHAnsi" w:cstheme="majorHAnsi"/>
          <w:sz w:val="22"/>
          <w:szCs w:val="22"/>
          <w:lang w:bidi="en-GB"/>
        </w:rPr>
        <w:t>increasing the amount limiting the simplification in the scope of establishing the coefficient for mixed sales from PLN 500 to PLN 10,000 if the proportion exceeds 98%;</w:t>
      </w:r>
    </w:p>
    <w:p w14:paraId="6BE0E439" w14:textId="77777777" w:rsidR="00F1765C" w:rsidRDefault="00133E6D">
      <w:pPr>
        <w:pStyle w:val="Akapitzlist"/>
        <w:numPr>
          <w:ilvl w:val="0"/>
          <w:numId w:val="17"/>
        </w:numPr>
        <w:spacing w:before="120" w:after="120"/>
        <w:jc w:val="both"/>
        <w:rPr>
          <w:rFonts w:asciiTheme="majorHAnsi" w:hAnsiTheme="majorHAnsi" w:cstheme="majorHAnsi"/>
          <w:sz w:val="22"/>
          <w:szCs w:val="22"/>
          <w:lang w:bidi="en-GB"/>
        </w:rPr>
      </w:pPr>
      <w:r>
        <w:rPr>
          <w:rFonts w:asciiTheme="majorHAnsi" w:hAnsiTheme="majorHAnsi" w:cstheme="majorHAnsi"/>
          <w:sz w:val="22"/>
          <w:szCs w:val="22"/>
          <w:lang w:bidi="en-GB"/>
        </w:rPr>
        <w:lastRenderedPageBreak/>
        <w:t>VAT sanctions – they are to be imposed not at a fixed rate but at 30%/20%/15% of the amount of the tax incompatibility, depending on the factors influencing the occurrence of the error in the VAT settlement.</w:t>
      </w:r>
    </w:p>
    <w:p w14:paraId="42722C0C" w14:textId="49981EC2" w:rsidR="004D1D9B" w:rsidRPr="00133E6D" w:rsidRDefault="004D1D9B" w:rsidP="00133E6D">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4D1D9B" w:rsidRPr="00170DCB" w14:paraId="66B26A1E" w14:textId="77777777" w:rsidTr="00E0234E">
        <w:tc>
          <w:tcPr>
            <w:tcW w:w="10211" w:type="dxa"/>
            <w:shd w:val="clear" w:color="auto" w:fill="444854"/>
          </w:tcPr>
          <w:p w14:paraId="3110A5B9" w14:textId="0CC401C4" w:rsidR="004D1D9B" w:rsidRPr="00170DCB" w:rsidRDefault="005E65E6" w:rsidP="004D1D9B">
            <w:pPr>
              <w:pStyle w:val="Styl1"/>
              <w:spacing w:before="120" w:after="120"/>
              <w:ind w:left="357" w:hanging="357"/>
              <w:rPr>
                <w:rFonts w:asciiTheme="majorHAnsi" w:hAnsiTheme="majorHAnsi" w:cstheme="majorHAnsi"/>
                <w:color w:val="EFC812"/>
                <w:szCs w:val="22"/>
              </w:rPr>
            </w:pPr>
            <w:bookmarkStart w:id="16" w:name="_Toc128041992"/>
            <w:r>
              <w:rPr>
                <w:rFonts w:asciiTheme="majorHAnsi" w:hAnsiTheme="majorHAnsi" w:cstheme="majorBidi"/>
                <w:color w:val="EFC812"/>
                <w:lang w:bidi="en-GB"/>
              </w:rPr>
              <w:t>Cash registers</w:t>
            </w:r>
            <w:bookmarkEnd w:id="16"/>
          </w:p>
        </w:tc>
      </w:tr>
    </w:tbl>
    <w:p w14:paraId="77CB5769" w14:textId="77777777" w:rsidR="00F1765C" w:rsidRDefault="00A22803" w:rsidP="004D1D9B">
      <w:pPr>
        <w:suppressAutoHyphens w:val="0"/>
        <w:autoSpaceDN/>
        <w:spacing w:before="120" w:after="0" w:line="240" w:lineRule="auto"/>
        <w:jc w:val="both"/>
        <w:textAlignment w:val="auto"/>
        <w:rPr>
          <w:rFonts w:asciiTheme="majorHAnsi" w:hAnsiTheme="majorHAnsi" w:cstheme="majorHAnsi"/>
          <w:lang w:bidi="en-GB"/>
        </w:rPr>
      </w:pPr>
      <w:r>
        <w:rPr>
          <w:rFonts w:asciiTheme="majorHAnsi" w:hAnsiTheme="majorHAnsi" w:cstheme="majorHAnsi"/>
          <w:lang w:bidi="en-GB"/>
        </w:rPr>
        <w:t>Changes in the cash registers – i.e. withdrawal of devices with an electronic record of copies in favour of online cash registers takes place in stages, in the first place concerned entities from industries recognised by the Ministry of Finance as more susceptible to abuse, such as repair of vehicles, catering, hairdressing, legal services. Other businesses were able to purchase cash registers with an electronic record of copies until the end of 2022.</w:t>
      </w:r>
    </w:p>
    <w:p w14:paraId="508E14E8" w14:textId="77777777" w:rsidR="00F1765C" w:rsidRDefault="00FB26AB" w:rsidP="004D1D9B">
      <w:pPr>
        <w:suppressAutoHyphens w:val="0"/>
        <w:autoSpaceDN/>
        <w:spacing w:before="120" w:after="0" w:line="240" w:lineRule="auto"/>
        <w:jc w:val="both"/>
        <w:textAlignment w:val="auto"/>
        <w:rPr>
          <w:rFonts w:asciiTheme="majorHAnsi" w:hAnsiTheme="majorHAnsi" w:cstheme="majorHAnsi"/>
          <w:lang w:bidi="en-GB"/>
        </w:rPr>
      </w:pPr>
      <w:r>
        <w:rPr>
          <w:rFonts w:asciiTheme="majorHAnsi" w:hAnsiTheme="majorHAnsi" w:cstheme="majorHAnsi"/>
          <w:lang w:bidi="en-GB"/>
        </w:rPr>
        <w:t>two types of cash registers have been used since 2023: current, i.e. with an electronic record of copies acquired until the end of 2022 and online cash registers.</w:t>
      </w:r>
    </w:p>
    <w:p w14:paraId="1FF2F83C" w14:textId="4EE55F83" w:rsidR="004D1D9B" w:rsidRPr="00170DCB" w:rsidRDefault="004D1D9B" w:rsidP="00133E6D">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4D1D9B" w:rsidRPr="00170DCB" w14:paraId="2CF7CBA4" w14:textId="77777777" w:rsidTr="00E0234E">
        <w:tc>
          <w:tcPr>
            <w:tcW w:w="10211" w:type="dxa"/>
            <w:shd w:val="clear" w:color="auto" w:fill="444854"/>
          </w:tcPr>
          <w:p w14:paraId="4729E30A" w14:textId="17184E90" w:rsidR="004D1D9B" w:rsidRPr="00170DCB" w:rsidRDefault="004D1D9B" w:rsidP="004D1D9B">
            <w:pPr>
              <w:pStyle w:val="Styl1"/>
              <w:spacing w:before="120" w:after="120"/>
              <w:ind w:left="357" w:hanging="357"/>
              <w:rPr>
                <w:rFonts w:asciiTheme="majorHAnsi" w:hAnsiTheme="majorHAnsi" w:cstheme="majorBidi"/>
                <w:color w:val="EFC812"/>
              </w:rPr>
            </w:pPr>
            <w:bookmarkStart w:id="17" w:name="_Toc128041993"/>
            <w:r w:rsidRPr="79E03DEC">
              <w:rPr>
                <w:rFonts w:asciiTheme="majorHAnsi" w:hAnsiTheme="majorHAnsi" w:cstheme="majorBidi"/>
                <w:color w:val="EFC812"/>
                <w:lang w:bidi="en-GB"/>
              </w:rPr>
              <w:t xml:space="preserve">New limits for cash transactions for businesses and consumers </w:t>
            </w:r>
            <w:r w:rsidR="00160AD3">
              <w:rPr>
                <w:rFonts w:asciiTheme="majorHAnsi" w:hAnsiTheme="majorHAnsi" w:cstheme="majorBidi"/>
                <w:color w:val="EFC812"/>
                <w:lang w:bidi="en-GB"/>
              </w:rPr>
              <w:t>–</w:t>
            </w:r>
            <w:r w:rsidRPr="79E03DEC">
              <w:rPr>
                <w:rFonts w:asciiTheme="majorHAnsi" w:hAnsiTheme="majorHAnsi" w:cstheme="majorBidi"/>
                <w:color w:val="EFC812"/>
                <w:lang w:bidi="en-GB"/>
              </w:rPr>
              <w:t xml:space="preserve"> postponed</w:t>
            </w:r>
            <w:bookmarkEnd w:id="17"/>
          </w:p>
        </w:tc>
      </w:tr>
    </w:tbl>
    <w:p w14:paraId="394C1C02" w14:textId="2A9A6059" w:rsidR="004D1D9B" w:rsidRPr="00170DCB" w:rsidRDefault="38724FF2" w:rsidP="004D1D9B">
      <w:pPr>
        <w:suppressAutoHyphens w:val="0"/>
        <w:autoSpaceDN/>
        <w:spacing w:before="120" w:after="0" w:line="240" w:lineRule="auto"/>
        <w:jc w:val="both"/>
        <w:textAlignment w:val="auto"/>
        <w:rPr>
          <w:rFonts w:asciiTheme="majorHAnsi" w:hAnsiTheme="majorHAnsi" w:cstheme="majorBidi"/>
        </w:rPr>
      </w:pPr>
      <w:r w:rsidRPr="4FB1CAD4">
        <w:rPr>
          <w:rFonts w:asciiTheme="majorHAnsi" w:hAnsiTheme="majorHAnsi" w:cstheme="majorBidi"/>
          <w:b/>
          <w:lang w:bidi="en-GB"/>
        </w:rPr>
        <w:t>Postponement until 1 January 2024 of the reduction of the limit</w:t>
      </w:r>
      <w:r w:rsidRPr="4FB1CAD4">
        <w:rPr>
          <w:rFonts w:asciiTheme="majorHAnsi" w:hAnsiTheme="majorHAnsi" w:cstheme="majorBidi"/>
          <w:lang w:bidi="en-GB"/>
        </w:rPr>
        <w:t xml:space="preserve"> for making or accepting payments related to the business activity via the business’s account</w:t>
      </w:r>
      <w:r w:rsidRPr="4FB1CAD4">
        <w:rPr>
          <w:rFonts w:asciiTheme="majorHAnsi" w:hAnsiTheme="majorHAnsi" w:cstheme="majorBidi"/>
          <w:b/>
          <w:lang w:bidi="en-GB"/>
        </w:rPr>
        <w:t xml:space="preserve"> from PLN 15,000 to PLN 8,000</w:t>
      </w:r>
      <w:r w:rsidRPr="4FB1CAD4">
        <w:rPr>
          <w:rFonts w:asciiTheme="majorHAnsi" w:hAnsiTheme="majorHAnsi" w:cstheme="majorBidi"/>
          <w:lang w:bidi="en-GB"/>
        </w:rPr>
        <w:t>, whenever:</w:t>
      </w:r>
    </w:p>
    <w:p w14:paraId="37DB52DE" w14:textId="77777777" w:rsidR="004D1D9B" w:rsidRPr="00170DCB" w:rsidRDefault="004D1D9B">
      <w:pPr>
        <w:pStyle w:val="Akapitzlist"/>
        <w:numPr>
          <w:ilvl w:val="0"/>
          <w:numId w:val="4"/>
        </w:numPr>
        <w:ind w:left="714" w:hanging="357"/>
        <w:jc w:val="both"/>
        <w:rPr>
          <w:rFonts w:asciiTheme="majorHAnsi" w:hAnsiTheme="majorHAnsi" w:cstheme="majorHAnsi"/>
          <w:sz w:val="22"/>
          <w:szCs w:val="22"/>
        </w:rPr>
      </w:pPr>
      <w:r w:rsidRPr="00170DCB">
        <w:rPr>
          <w:rFonts w:asciiTheme="majorHAnsi" w:hAnsiTheme="majorHAnsi" w:cstheme="majorHAnsi"/>
          <w:sz w:val="22"/>
          <w:szCs w:val="22"/>
          <w:lang w:bidi="en-GB"/>
        </w:rPr>
        <w:t>another business is the party to the transaction from which the payment results and</w:t>
      </w:r>
    </w:p>
    <w:p w14:paraId="7406D5D4" w14:textId="77777777" w:rsidR="004D1D9B" w:rsidRPr="00170DCB" w:rsidRDefault="004D1D9B">
      <w:pPr>
        <w:pStyle w:val="Akapitzlist"/>
        <w:numPr>
          <w:ilvl w:val="0"/>
          <w:numId w:val="4"/>
        </w:numPr>
        <w:ind w:left="714" w:hanging="357"/>
        <w:jc w:val="both"/>
        <w:rPr>
          <w:rFonts w:asciiTheme="majorHAnsi" w:hAnsiTheme="majorHAnsi" w:cstheme="majorHAnsi"/>
          <w:b/>
          <w:bCs/>
          <w:sz w:val="22"/>
          <w:szCs w:val="22"/>
        </w:rPr>
      </w:pPr>
      <w:r w:rsidRPr="00170DCB">
        <w:rPr>
          <w:rFonts w:asciiTheme="majorHAnsi" w:hAnsiTheme="majorHAnsi" w:cstheme="majorHAnsi"/>
          <w:sz w:val="22"/>
          <w:szCs w:val="22"/>
          <w:lang w:bidi="en-GB"/>
        </w:rPr>
        <w:t xml:space="preserve">the one-off value of the transaction, regardless of the number of payments resulting therefrom, </w:t>
      </w:r>
      <w:r w:rsidRPr="00170DCB">
        <w:rPr>
          <w:rFonts w:asciiTheme="majorHAnsi" w:hAnsiTheme="majorHAnsi" w:cstheme="majorHAnsi"/>
          <w:b/>
          <w:sz w:val="22"/>
          <w:szCs w:val="22"/>
          <w:lang w:bidi="en-GB"/>
        </w:rPr>
        <w:t>exceeds PLN 8,000 or the equivalent of this amount</w:t>
      </w:r>
      <w:r w:rsidRPr="00170DCB">
        <w:rPr>
          <w:rFonts w:asciiTheme="majorHAnsi" w:hAnsiTheme="majorHAnsi" w:cstheme="majorHAnsi"/>
          <w:sz w:val="22"/>
          <w:szCs w:val="22"/>
          <w:lang w:bidi="en-GB"/>
        </w:rPr>
        <w:t>.</w:t>
      </w:r>
    </w:p>
    <w:p w14:paraId="1EBE9E71" w14:textId="77777777" w:rsidR="00F1765C" w:rsidRDefault="004D1D9B" w:rsidP="004D1D9B">
      <w:pPr>
        <w:suppressAutoHyphens w:val="0"/>
        <w:autoSpaceDN/>
        <w:spacing w:before="120" w:after="0" w:line="240" w:lineRule="auto"/>
        <w:jc w:val="both"/>
        <w:textAlignment w:val="auto"/>
        <w:rPr>
          <w:rFonts w:asciiTheme="majorHAnsi" w:hAnsiTheme="majorHAnsi" w:cstheme="majorBidi"/>
          <w:b/>
          <w:lang w:bidi="en-GB"/>
        </w:rPr>
      </w:pPr>
      <w:r w:rsidRPr="4FB1CAD4">
        <w:rPr>
          <w:rFonts w:asciiTheme="majorHAnsi" w:hAnsiTheme="majorHAnsi" w:cstheme="majorBidi"/>
          <w:b/>
          <w:lang w:bidi="en-GB"/>
        </w:rPr>
        <w:t>The above-mentioned change in the limit also has an effect in the adjustment of tax costs in the personal and corporate income tax, starting from 1 January 2024.</w:t>
      </w:r>
    </w:p>
    <w:p w14:paraId="2CAB6152" w14:textId="75C4ECD5" w:rsidR="004D1D9B" w:rsidRPr="00170DCB" w:rsidRDefault="6ADD01B3" w:rsidP="004D1D9B">
      <w:pPr>
        <w:suppressAutoHyphens w:val="0"/>
        <w:autoSpaceDN/>
        <w:spacing w:before="120" w:after="0" w:line="240" w:lineRule="auto"/>
        <w:jc w:val="both"/>
        <w:textAlignment w:val="auto"/>
        <w:rPr>
          <w:rFonts w:asciiTheme="majorHAnsi" w:hAnsiTheme="majorHAnsi" w:cstheme="majorBidi"/>
        </w:rPr>
      </w:pPr>
      <w:r w:rsidRPr="4FB1CAD4">
        <w:rPr>
          <w:rFonts w:asciiTheme="majorHAnsi" w:hAnsiTheme="majorHAnsi" w:cstheme="majorBidi"/>
          <w:lang w:bidi="en-GB"/>
        </w:rPr>
        <w:t xml:space="preserve">As a result of amendments to the Act on consumer rights, there is also </w:t>
      </w:r>
      <w:r w:rsidRPr="4FB1CAD4">
        <w:rPr>
          <w:rFonts w:asciiTheme="majorHAnsi" w:hAnsiTheme="majorHAnsi" w:cstheme="majorBidi"/>
          <w:b/>
          <w:lang w:bidi="en-GB"/>
        </w:rPr>
        <w:t>a limit of cash transactions for consumers</w:t>
      </w:r>
      <w:r w:rsidRPr="4FB1CAD4">
        <w:rPr>
          <w:rFonts w:asciiTheme="majorHAnsi" w:hAnsiTheme="majorHAnsi" w:cstheme="majorBidi"/>
          <w:lang w:bidi="en-GB"/>
        </w:rPr>
        <w:t>. According to the wording of Article 7b of this Act:</w:t>
      </w:r>
    </w:p>
    <w:p w14:paraId="45C14B6C" w14:textId="77777777" w:rsidR="004D1D9B" w:rsidRPr="00170DCB" w:rsidRDefault="004D1D9B" w:rsidP="004D1D9B">
      <w:pPr>
        <w:suppressAutoHyphens w:val="0"/>
        <w:autoSpaceDN/>
        <w:spacing w:before="120" w:after="0" w:line="240" w:lineRule="auto"/>
        <w:jc w:val="both"/>
        <w:textAlignment w:val="auto"/>
        <w:rPr>
          <w:rFonts w:asciiTheme="majorHAnsi" w:hAnsiTheme="majorHAnsi" w:cstheme="majorHAnsi"/>
          <w:i/>
          <w:iCs/>
        </w:rPr>
      </w:pPr>
      <w:r w:rsidRPr="4FB1CAD4">
        <w:rPr>
          <w:rFonts w:asciiTheme="majorHAnsi" w:hAnsiTheme="majorHAnsi" w:cstheme="majorBidi"/>
          <w:i/>
          <w:lang w:bidi="en-GB"/>
        </w:rPr>
        <w:t xml:space="preserve">The consumer is obliged to make </w:t>
      </w:r>
      <w:r w:rsidRPr="4FB1CAD4">
        <w:rPr>
          <w:rFonts w:asciiTheme="majorHAnsi" w:hAnsiTheme="majorHAnsi" w:cstheme="majorBidi"/>
          <w:b/>
          <w:i/>
          <w:lang w:bidi="en-GB"/>
        </w:rPr>
        <w:t>payments via the payment account</w:t>
      </w:r>
      <w:r w:rsidRPr="4FB1CAD4">
        <w:rPr>
          <w:rFonts w:asciiTheme="majorHAnsi" w:hAnsiTheme="majorHAnsi" w:cstheme="majorBidi"/>
          <w:i/>
          <w:lang w:bidi="en-GB"/>
        </w:rPr>
        <w:t xml:space="preserve"> if the one-off value of the transaction with the business, regardless of the number of payments resulting from it, </w:t>
      </w:r>
      <w:r w:rsidRPr="4FB1CAD4">
        <w:rPr>
          <w:rFonts w:asciiTheme="majorHAnsi" w:hAnsiTheme="majorHAnsi" w:cstheme="majorBidi"/>
          <w:b/>
          <w:i/>
          <w:lang w:bidi="en-GB"/>
        </w:rPr>
        <w:t>exceeds PLN 20,000 or the equivalent of this amount.</w:t>
      </w:r>
    </w:p>
    <w:p w14:paraId="237756C3" w14:textId="1C87E676" w:rsidR="004D1D9B" w:rsidRDefault="7D4176BC" w:rsidP="004D1D9B">
      <w:pPr>
        <w:suppressAutoHyphens w:val="0"/>
        <w:autoSpaceDN/>
        <w:spacing w:before="120" w:after="0" w:line="240" w:lineRule="auto"/>
        <w:jc w:val="both"/>
        <w:textAlignment w:val="auto"/>
        <w:rPr>
          <w:rFonts w:asciiTheme="majorHAnsi" w:hAnsiTheme="majorHAnsi" w:cstheme="majorBidi"/>
          <w:b/>
        </w:rPr>
      </w:pPr>
      <w:r w:rsidRPr="4FB1CAD4">
        <w:rPr>
          <w:rFonts w:asciiTheme="majorHAnsi" w:hAnsiTheme="majorHAnsi" w:cstheme="majorBidi"/>
          <w:b/>
          <w:lang w:bidi="en-GB"/>
        </w:rPr>
        <w:t>The entry into force of this provision is postponed to 1 January 2024</w:t>
      </w:r>
      <w:r w:rsidRPr="4FB1CAD4">
        <w:rPr>
          <w:rFonts w:asciiTheme="majorHAnsi" w:hAnsiTheme="majorHAnsi" w:cstheme="majorBidi"/>
          <w:lang w:bidi="en-GB"/>
        </w:rPr>
        <w:t xml:space="preserve">. The effect of introducing such changes to the Act on consumer rights are changes in the personal and corporate income tax, consisting in </w:t>
      </w:r>
      <w:r w:rsidRPr="4FB1CAD4">
        <w:rPr>
          <w:rFonts w:asciiTheme="majorHAnsi" w:hAnsiTheme="majorHAnsi" w:cstheme="majorBidi"/>
          <w:b/>
          <w:lang w:bidi="en-GB"/>
        </w:rPr>
        <w:t>recognising as income from business activity the amount of payment related to transactions between the consumer and the business obtained without intermediation of a payment account in the case of exceeding the statutory limit.</w:t>
      </w:r>
    </w:p>
    <w:p w14:paraId="12D3B793" w14:textId="2273FF4F" w:rsidR="004D1D9B" w:rsidRPr="00133E6D" w:rsidRDefault="004D1D9B" w:rsidP="00133E6D">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4D1D9B" w:rsidRPr="00170DCB" w14:paraId="30DFD816" w14:textId="77777777" w:rsidTr="00E0234E">
        <w:tc>
          <w:tcPr>
            <w:tcW w:w="10211" w:type="dxa"/>
            <w:shd w:val="clear" w:color="auto" w:fill="444854"/>
          </w:tcPr>
          <w:p w14:paraId="3F1F5A81" w14:textId="384A8425" w:rsidR="004D1D9B" w:rsidRPr="00170DCB" w:rsidRDefault="2F16F514" w:rsidP="004D1D9B">
            <w:pPr>
              <w:pStyle w:val="Styl1"/>
              <w:spacing w:before="120" w:after="120"/>
              <w:ind w:left="357" w:hanging="357"/>
            </w:pPr>
            <w:bookmarkStart w:id="18" w:name="_Hlk89888072"/>
            <w:bookmarkStart w:id="19" w:name="_Toc128041994"/>
            <w:r w:rsidRPr="4FB1CAD4">
              <w:rPr>
                <w:rFonts w:asciiTheme="majorHAnsi" w:hAnsiTheme="majorHAnsi" w:cstheme="majorBidi"/>
                <w:color w:val="EFC812"/>
                <w:lang w:bidi="en-GB"/>
              </w:rPr>
              <w:t>Prolongation of the epidemic emergency</w:t>
            </w:r>
            <w:bookmarkEnd w:id="19"/>
          </w:p>
        </w:tc>
      </w:tr>
    </w:tbl>
    <w:bookmarkEnd w:id="18"/>
    <w:p w14:paraId="3228736A" w14:textId="516C39B1" w:rsidR="162F46FF" w:rsidRPr="0049283B" w:rsidRDefault="162F46FF" w:rsidP="00A80F3A">
      <w:pPr>
        <w:suppressAutoHyphens w:val="0"/>
        <w:autoSpaceDN/>
        <w:spacing w:before="120" w:after="0" w:line="240" w:lineRule="auto"/>
        <w:jc w:val="both"/>
        <w:textAlignment w:val="auto"/>
        <w:rPr>
          <w:rFonts w:asciiTheme="majorHAnsi" w:hAnsiTheme="majorHAnsi" w:cstheme="majorHAnsi"/>
        </w:rPr>
      </w:pPr>
      <w:r w:rsidRPr="0049283B">
        <w:rPr>
          <w:rFonts w:asciiTheme="majorHAnsi" w:hAnsiTheme="majorHAnsi" w:cstheme="majorHAnsi"/>
          <w:lang w:bidi="en-GB"/>
        </w:rPr>
        <w:t>The Regulation of the Council of Ministers of 23 December 2022 amending the Regulation on the establishment of certain restrictions, imperatives and prohibitions due to the occurrence of the epidemic threat (Dz.U. of 2022, item 2736) extends the epidemic emergency by 31 March 2023.</w:t>
      </w:r>
    </w:p>
    <w:p w14:paraId="740ACBEF" w14:textId="41C3E9AB" w:rsidR="3D857D47" w:rsidRPr="0049283B" w:rsidRDefault="3D857D47" w:rsidP="00A80F3A">
      <w:pPr>
        <w:suppressAutoHyphens w:val="0"/>
        <w:autoSpaceDN/>
        <w:spacing w:before="120" w:after="0" w:line="240" w:lineRule="auto"/>
        <w:jc w:val="both"/>
        <w:textAlignment w:val="auto"/>
        <w:rPr>
          <w:rFonts w:asciiTheme="majorHAnsi" w:hAnsiTheme="majorHAnsi" w:cstheme="majorHAnsi"/>
        </w:rPr>
      </w:pPr>
      <w:r w:rsidRPr="0049283B">
        <w:rPr>
          <w:rFonts w:asciiTheme="majorHAnsi" w:hAnsiTheme="majorHAnsi" w:cstheme="majorHAnsi"/>
          <w:lang w:bidi="en-GB"/>
        </w:rPr>
        <w:t>Therefore, the following provisions are also extended:</w:t>
      </w:r>
    </w:p>
    <w:p w14:paraId="7D6597F3" w14:textId="54EDB35F" w:rsidR="0480E9DB" w:rsidRPr="0049283B" w:rsidRDefault="0480E9DB">
      <w:pPr>
        <w:pStyle w:val="Akapitzlist"/>
        <w:numPr>
          <w:ilvl w:val="0"/>
          <w:numId w:val="3"/>
        </w:numPr>
        <w:spacing w:after="120"/>
        <w:ind w:left="851" w:hanging="284"/>
        <w:jc w:val="both"/>
        <w:rPr>
          <w:rFonts w:asciiTheme="majorHAnsi" w:hAnsiTheme="majorHAnsi" w:cstheme="majorBidi"/>
        </w:rPr>
      </w:pPr>
      <w:r w:rsidRPr="0049283B">
        <w:rPr>
          <w:rFonts w:asciiTheme="majorHAnsi" w:hAnsiTheme="majorHAnsi" w:cstheme="majorBidi"/>
          <w:b/>
          <w:sz w:val="22"/>
          <w:szCs w:val="22"/>
          <w:lang w:bidi="en-GB"/>
        </w:rPr>
        <w:t>the validity of certificates of residence</w:t>
      </w:r>
      <w:r w:rsidRPr="0049283B">
        <w:rPr>
          <w:rFonts w:asciiTheme="majorHAnsi" w:hAnsiTheme="majorHAnsi" w:cstheme="majorBidi"/>
          <w:sz w:val="22"/>
          <w:szCs w:val="22"/>
          <w:lang w:bidi="en-GB"/>
        </w:rPr>
        <w:t xml:space="preserve"> </w:t>
      </w:r>
      <w:r w:rsidR="00160AD3">
        <w:rPr>
          <w:rFonts w:asciiTheme="majorHAnsi" w:hAnsiTheme="majorHAnsi" w:cstheme="majorBidi"/>
          <w:sz w:val="22"/>
          <w:szCs w:val="22"/>
          <w:lang w:bidi="en-GB"/>
        </w:rPr>
        <w:t>–</w:t>
      </w:r>
      <w:r w:rsidRPr="0049283B">
        <w:rPr>
          <w:rFonts w:asciiTheme="majorHAnsi" w:hAnsiTheme="majorHAnsi" w:cstheme="majorBidi"/>
          <w:sz w:val="22"/>
          <w:szCs w:val="22"/>
          <w:lang w:bidi="en-GB"/>
        </w:rPr>
        <w:t xml:space="preserve"> up to 2 months after the cancellation of the epidemic emergency, the remitter may use the certificate of residence of the taxpayer covering 2019 or 2020 subject to obtaining a taxpayer’s statement that the data contained therein have not changed,</w:t>
      </w:r>
    </w:p>
    <w:p w14:paraId="2DCE3468" w14:textId="69DD2EB6" w:rsidR="0480E9DB" w:rsidRPr="0049283B" w:rsidRDefault="0480E9DB">
      <w:pPr>
        <w:pStyle w:val="Akapitzlist"/>
        <w:numPr>
          <w:ilvl w:val="0"/>
          <w:numId w:val="3"/>
        </w:numPr>
        <w:spacing w:after="120"/>
        <w:ind w:left="851" w:hanging="284"/>
        <w:jc w:val="both"/>
        <w:rPr>
          <w:rFonts w:asciiTheme="majorHAnsi" w:hAnsiTheme="majorHAnsi" w:cstheme="majorBidi"/>
        </w:rPr>
      </w:pPr>
      <w:r w:rsidRPr="0049283B">
        <w:rPr>
          <w:rFonts w:asciiTheme="majorHAnsi" w:hAnsiTheme="majorHAnsi" w:cstheme="majorBidi"/>
          <w:b/>
          <w:sz w:val="22"/>
          <w:szCs w:val="22"/>
          <w:lang w:bidi="en-GB"/>
        </w:rPr>
        <w:t>deadline for submitting a payment to an account outside the white list of VAT taxpayers</w:t>
      </w:r>
      <w:r w:rsidRPr="0049283B">
        <w:rPr>
          <w:rFonts w:asciiTheme="majorHAnsi" w:hAnsiTheme="majorHAnsi" w:cstheme="majorBidi"/>
          <w:sz w:val="22"/>
          <w:szCs w:val="22"/>
          <w:lang w:bidi="en-GB"/>
        </w:rPr>
        <w:t xml:space="preserve"> </w:t>
      </w:r>
      <w:r w:rsidR="00160AD3">
        <w:rPr>
          <w:rFonts w:asciiTheme="majorHAnsi" w:hAnsiTheme="majorHAnsi" w:cstheme="majorBidi"/>
          <w:sz w:val="22"/>
          <w:szCs w:val="22"/>
          <w:lang w:bidi="en-GB"/>
        </w:rPr>
        <w:t>–</w:t>
      </w:r>
      <w:r w:rsidRPr="0049283B">
        <w:rPr>
          <w:rFonts w:asciiTheme="majorHAnsi" w:hAnsiTheme="majorHAnsi" w:cstheme="majorBidi"/>
          <w:sz w:val="22"/>
          <w:szCs w:val="22"/>
          <w:lang w:bidi="en-GB"/>
        </w:rPr>
        <w:t xml:space="preserve"> extended from 7 to 14 days </w:t>
      </w:r>
      <w:r w:rsidR="00160AD3">
        <w:rPr>
          <w:rFonts w:asciiTheme="majorHAnsi" w:hAnsiTheme="majorHAnsi" w:cstheme="majorBidi"/>
          <w:sz w:val="22"/>
          <w:szCs w:val="22"/>
          <w:lang w:bidi="en-GB"/>
        </w:rPr>
        <w:t>–</w:t>
      </w:r>
      <w:r w:rsidRPr="0049283B">
        <w:rPr>
          <w:rFonts w:asciiTheme="majorHAnsi" w:hAnsiTheme="majorHAnsi" w:cstheme="majorBidi"/>
          <w:sz w:val="22"/>
          <w:szCs w:val="22"/>
          <w:lang w:bidi="en-GB"/>
        </w:rPr>
        <w:t xml:space="preserve"> until the epidemic emergency is cancelled,</w:t>
      </w:r>
    </w:p>
    <w:p w14:paraId="75EB0402" w14:textId="7D4EB605" w:rsidR="13828F0F" w:rsidRPr="0049283B" w:rsidRDefault="0022719D">
      <w:pPr>
        <w:pStyle w:val="Akapitzlist"/>
        <w:numPr>
          <w:ilvl w:val="0"/>
          <w:numId w:val="3"/>
        </w:numPr>
        <w:spacing w:after="120"/>
        <w:ind w:left="851" w:hanging="284"/>
        <w:jc w:val="both"/>
        <w:rPr>
          <w:rFonts w:asciiTheme="majorHAnsi" w:hAnsiTheme="majorHAnsi" w:cstheme="majorBidi"/>
        </w:rPr>
      </w:pPr>
      <w:r w:rsidRPr="0049283B">
        <w:rPr>
          <w:rFonts w:asciiTheme="majorHAnsi" w:hAnsiTheme="majorHAnsi" w:cstheme="majorBidi"/>
          <w:b/>
          <w:sz w:val="22"/>
          <w:szCs w:val="22"/>
          <w:lang w:bidi="en-GB"/>
        </w:rPr>
        <w:t>suspension in the scope of MDR reporting</w:t>
      </w:r>
      <w:r w:rsidRPr="0049283B">
        <w:rPr>
          <w:rFonts w:asciiTheme="majorHAnsi" w:hAnsiTheme="majorHAnsi" w:cstheme="majorBidi"/>
          <w:sz w:val="22"/>
          <w:szCs w:val="22"/>
          <w:lang w:bidi="en-GB"/>
        </w:rPr>
        <w:t xml:space="preserve"> - in the case of a national scheme, MDR deadlines do not commence and the commenced ones are suspended until the 30th day following the date of epidemic emergency cancellation,</w:t>
      </w:r>
    </w:p>
    <w:p w14:paraId="3F30F4FF" w14:textId="45FF077D" w:rsidR="00C84D81" w:rsidRDefault="0480E9DB">
      <w:pPr>
        <w:pStyle w:val="Akapitzlist"/>
        <w:numPr>
          <w:ilvl w:val="0"/>
          <w:numId w:val="3"/>
        </w:numPr>
        <w:spacing w:after="120"/>
        <w:ind w:left="851" w:hanging="284"/>
        <w:jc w:val="both"/>
        <w:rPr>
          <w:rFonts w:asciiTheme="majorHAnsi" w:hAnsiTheme="majorHAnsi" w:cstheme="majorBidi"/>
          <w:sz w:val="22"/>
          <w:szCs w:val="22"/>
        </w:rPr>
      </w:pPr>
      <w:r w:rsidRPr="0049283B">
        <w:rPr>
          <w:rFonts w:asciiTheme="majorHAnsi" w:hAnsiTheme="majorHAnsi" w:cstheme="majorBidi"/>
          <w:b/>
          <w:sz w:val="22"/>
          <w:szCs w:val="22"/>
          <w:lang w:bidi="en-GB"/>
        </w:rPr>
        <w:lastRenderedPageBreak/>
        <w:t>waiting time for an individual interpretation</w:t>
      </w:r>
      <w:r w:rsidRPr="0049283B">
        <w:rPr>
          <w:rFonts w:asciiTheme="majorHAnsi" w:hAnsiTheme="majorHAnsi" w:cstheme="majorBidi"/>
          <w:sz w:val="22"/>
          <w:szCs w:val="22"/>
          <w:lang w:bidi="en-GB"/>
        </w:rPr>
        <w:t xml:space="preserve"> - extended by 3 months until the epidemic emergency is cancelled,</w:t>
      </w:r>
    </w:p>
    <w:p w14:paraId="3522FCA7" w14:textId="77777777" w:rsidR="0049283B" w:rsidRPr="00170DCB" w:rsidRDefault="0049283B" w:rsidP="0049283B">
      <w:pPr>
        <w:pStyle w:val="Akapitzlist"/>
        <w:spacing w:before="120"/>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49283B" w:rsidRPr="0049283B" w14:paraId="25C95E5E" w14:textId="77777777" w:rsidTr="001A32F6">
        <w:tc>
          <w:tcPr>
            <w:tcW w:w="10211" w:type="dxa"/>
            <w:shd w:val="clear" w:color="auto" w:fill="444854"/>
          </w:tcPr>
          <w:p w14:paraId="1A436012" w14:textId="2B14919F" w:rsidR="0049283B" w:rsidRPr="0049283B" w:rsidRDefault="0049283B" w:rsidP="0049283B">
            <w:pPr>
              <w:pStyle w:val="Styl1"/>
              <w:spacing w:before="120" w:after="120"/>
              <w:ind w:left="357" w:hanging="357"/>
              <w:rPr>
                <w:rFonts w:asciiTheme="majorHAnsi" w:hAnsiTheme="majorHAnsi" w:cstheme="majorBidi"/>
                <w:color w:val="EFC812"/>
              </w:rPr>
            </w:pPr>
            <w:bookmarkStart w:id="20" w:name="_Toc128041995"/>
            <w:r w:rsidRPr="0049283B">
              <w:rPr>
                <w:rFonts w:asciiTheme="majorHAnsi" w:hAnsiTheme="majorHAnsi" w:cstheme="majorBidi"/>
                <w:color w:val="EFC812"/>
                <w:lang w:bidi="en-GB"/>
              </w:rPr>
              <w:t xml:space="preserve">Counteracting payment bottlenecks </w:t>
            </w:r>
            <w:r w:rsidR="00160AD3">
              <w:rPr>
                <w:rFonts w:asciiTheme="majorHAnsi" w:hAnsiTheme="majorHAnsi" w:cstheme="majorBidi"/>
                <w:color w:val="EFC812"/>
                <w:lang w:bidi="en-GB"/>
              </w:rPr>
              <w:t>–</w:t>
            </w:r>
            <w:r w:rsidRPr="0049283B">
              <w:rPr>
                <w:rFonts w:asciiTheme="majorHAnsi" w:hAnsiTheme="majorHAnsi" w:cstheme="majorBidi"/>
                <w:color w:val="EFC812"/>
                <w:lang w:bidi="en-GB"/>
              </w:rPr>
              <w:t xml:space="preserve"> changes in reporting</w:t>
            </w:r>
            <w:bookmarkEnd w:id="20"/>
          </w:p>
        </w:tc>
      </w:tr>
    </w:tbl>
    <w:p w14:paraId="1EDE8B13" w14:textId="77777777" w:rsidR="00F1765C" w:rsidRDefault="00AD7CE8" w:rsidP="00E01BCC">
      <w:pPr>
        <w:suppressAutoHyphens w:val="0"/>
        <w:autoSpaceDN/>
        <w:spacing w:before="120" w:after="0" w:line="240" w:lineRule="auto"/>
        <w:jc w:val="both"/>
        <w:textAlignment w:val="auto"/>
        <w:rPr>
          <w:rFonts w:asciiTheme="majorHAnsi" w:hAnsiTheme="majorHAnsi" w:cstheme="majorHAnsi"/>
          <w:lang w:bidi="en-GB"/>
        </w:rPr>
      </w:pPr>
      <w:r>
        <w:rPr>
          <w:rFonts w:asciiTheme="majorHAnsi" w:hAnsiTheme="majorHAnsi" w:cstheme="majorHAnsi"/>
          <w:lang w:bidi="en-GB"/>
        </w:rPr>
        <w:t>Large companies will still have to report on the practices on the timeliness of payment, but they will have more time to do. Entities referred to in Article 27b(2)(2) of the Corporate Income Tax Act of 15 February 1992 (Dz. U. of 2021, item 1800, as amended) whose individual data were made available to the public within the time limit specified in Article 27b(1) of that Act, excluding public entities which are healthcare entities and entities referred to in Article 6(1)(1) and (2)(1) of the Act of 15 April 2011 on healthcare activity, submit to the minister competent for economic matters, by electronic means, by 30 April of the year immediately following the year in which their individual data were made available to the public, a report on the payment dates in commercial transaction used by these entities in the previous calendar year.</w:t>
      </w:r>
    </w:p>
    <w:p w14:paraId="58F209DD" w14:textId="11D120A8" w:rsidR="00AD7CE8" w:rsidRDefault="00AC72AA" w:rsidP="00E01BCC">
      <w:pPr>
        <w:suppressAutoHyphens w:val="0"/>
        <w:autoSpaceDN/>
        <w:spacing w:before="120" w:after="0" w:line="240" w:lineRule="auto"/>
        <w:jc w:val="both"/>
        <w:textAlignment w:val="auto"/>
        <w:rPr>
          <w:rFonts w:asciiTheme="majorHAnsi" w:hAnsiTheme="majorHAnsi" w:cstheme="majorHAnsi"/>
        </w:rPr>
      </w:pPr>
      <w:r w:rsidRPr="00DF0AC4">
        <w:rPr>
          <w:rFonts w:asciiTheme="majorHAnsi" w:hAnsiTheme="majorHAnsi" w:cstheme="majorHAnsi"/>
          <w:lang w:bidi="en-GB"/>
        </w:rPr>
        <w:t>The new provisions remove this obligation from insurance and reinsurance activities and reduce the obligations for capital groups and reduce the scope of reporting.</w:t>
      </w:r>
    </w:p>
    <w:p w14:paraId="146CD398" w14:textId="4038850E" w:rsidR="00696AD3" w:rsidRDefault="00977951" w:rsidP="00E01BCC">
      <w:pPr>
        <w:suppressAutoHyphens w:val="0"/>
        <w:autoSpaceDN/>
        <w:spacing w:before="120" w:after="0" w:line="240" w:lineRule="auto"/>
        <w:jc w:val="both"/>
        <w:textAlignment w:val="auto"/>
        <w:rPr>
          <w:rFonts w:asciiTheme="majorHAnsi" w:hAnsiTheme="majorHAnsi" w:cstheme="majorHAnsi"/>
        </w:rPr>
      </w:pPr>
      <w:r w:rsidRPr="00696AD3">
        <w:rPr>
          <w:rFonts w:asciiTheme="majorHAnsi" w:hAnsiTheme="majorHAnsi" w:cstheme="majorHAnsi"/>
          <w:lang w:bidi="en-GB"/>
        </w:rPr>
        <w:t>Pursuant to Article 4c of the Act of 4 November 2022 amending the Act on counteracting excessive delays in commercial transactions and the Public Finance Act, the business submits to the other party of a commercial transaction a statement of the possession, obtaining or loss of the status of a large business if it has, obtained or lost that status, as appropriate.</w:t>
      </w:r>
    </w:p>
    <w:p w14:paraId="535552E9" w14:textId="0B5A92E8" w:rsidR="00A80F3A" w:rsidRDefault="00A80F3A" w:rsidP="00E01BCC">
      <w:pPr>
        <w:suppressAutoHyphens w:val="0"/>
        <w:autoSpaceDN/>
        <w:spacing w:before="120" w:after="0" w:line="240" w:lineRule="auto"/>
        <w:jc w:val="both"/>
        <w:textAlignment w:val="auto"/>
        <w:rPr>
          <w:rFonts w:asciiTheme="majorHAnsi" w:hAnsiTheme="majorHAnsi" w:cstheme="majorHAnsi"/>
        </w:rPr>
      </w:pPr>
    </w:p>
    <w:p w14:paraId="2CC29517" w14:textId="77777777" w:rsidR="00A80F3A" w:rsidRDefault="00A80F3A" w:rsidP="00E01BCC">
      <w:pPr>
        <w:suppressAutoHyphens w:val="0"/>
        <w:autoSpaceDN/>
        <w:spacing w:before="120" w:after="0" w:line="240" w:lineRule="auto"/>
        <w:jc w:val="both"/>
        <w:textAlignment w:val="auto"/>
        <w:rPr>
          <w:rFonts w:asciiTheme="majorHAnsi" w:hAnsiTheme="majorHAnsi" w:cstheme="majorHAnsi"/>
        </w:rPr>
      </w:pPr>
    </w:p>
    <w:p w14:paraId="57F85D89" w14:textId="77777777" w:rsidR="00A80F3A" w:rsidRPr="00A80F3A" w:rsidRDefault="00A80F3A" w:rsidP="00A80F3A">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CA39E4" w:rsidRPr="00170DCB" w14:paraId="2EB223D5" w14:textId="77777777" w:rsidTr="00E0234E">
        <w:tc>
          <w:tcPr>
            <w:tcW w:w="10211" w:type="dxa"/>
            <w:shd w:val="clear" w:color="auto" w:fill="444854"/>
          </w:tcPr>
          <w:p w14:paraId="5F0A7187" w14:textId="36EA7933" w:rsidR="00CA39E4" w:rsidRPr="00170DCB" w:rsidRDefault="00590FE3" w:rsidP="00CA39E4">
            <w:pPr>
              <w:pStyle w:val="Styl1"/>
              <w:spacing w:before="120" w:after="120"/>
              <w:ind w:left="357" w:hanging="357"/>
              <w:rPr>
                <w:rFonts w:asciiTheme="majorHAnsi" w:hAnsiTheme="majorHAnsi" w:cstheme="majorHAnsi"/>
                <w:color w:val="EFC812"/>
                <w:szCs w:val="22"/>
              </w:rPr>
            </w:pPr>
            <w:bookmarkStart w:id="21" w:name="_Toc128041996"/>
            <w:r w:rsidRPr="2462E19B">
              <w:rPr>
                <w:rFonts w:asciiTheme="majorHAnsi" w:hAnsiTheme="majorHAnsi" w:cstheme="majorBidi"/>
                <w:color w:val="EFC812"/>
                <w:lang w:bidi="en-GB"/>
              </w:rPr>
              <w:t>Allowances</w:t>
            </w:r>
            <w:bookmarkEnd w:id="21"/>
          </w:p>
        </w:tc>
      </w:tr>
    </w:tbl>
    <w:p w14:paraId="406B6C38" w14:textId="17BEBB84" w:rsidR="00C80F1F" w:rsidRPr="00D93AFF" w:rsidRDefault="00BC64BF" w:rsidP="00D93AFF">
      <w:pPr>
        <w:suppressAutoHyphens w:val="0"/>
        <w:autoSpaceDN/>
        <w:spacing w:before="120" w:after="0" w:line="240" w:lineRule="auto"/>
        <w:jc w:val="both"/>
        <w:textAlignment w:val="auto"/>
        <w:rPr>
          <w:rFonts w:asciiTheme="majorHAnsi" w:hAnsiTheme="majorHAnsi" w:cstheme="majorHAnsi"/>
          <w:b/>
          <w:bCs/>
        </w:rPr>
      </w:pPr>
      <w:r w:rsidRPr="00D93AFF">
        <w:rPr>
          <w:rFonts w:asciiTheme="majorHAnsi" w:hAnsiTheme="majorHAnsi" w:cstheme="majorHAnsi"/>
          <w:lang w:bidi="en-GB"/>
        </w:rPr>
        <w:t xml:space="preserve">As of 1 January 2023, a higher business travel allowance is applicable. Pursuant to the </w:t>
      </w:r>
      <w:hyperlink r:id="rId16" w:history="1">
        <w:r w:rsidR="00D93AFF" w:rsidRPr="00D93AFF">
          <w:rPr>
            <w:rStyle w:val="Hipercze"/>
            <w:rFonts w:asciiTheme="majorHAnsi" w:hAnsiTheme="majorHAnsi" w:cstheme="majorBidi"/>
            <w:lang w:bidi="en-GB"/>
          </w:rPr>
          <w:t>Regulation of the Minister of Family and Social Policy of 25 October 2022</w:t>
        </w:r>
      </w:hyperlink>
      <w:r w:rsidRPr="00D93AFF">
        <w:rPr>
          <w:rFonts w:asciiTheme="majorHAnsi" w:hAnsiTheme="majorHAnsi" w:cstheme="majorHAnsi"/>
          <w:lang w:bidi="en-GB"/>
        </w:rPr>
        <w:t xml:space="preserve"> amending the Regulation on receivables due to an employee of a budget-related, state or local government entity on account of a business trip, the national allowance amounts to PLN 45 per day of trip (from 28 July to 31 December 2022, the allowance was PLN 38). The change of the rate also entails the increase of the accommodation allowance to PLN 67.50 and local travel to PLN 9, as well as the accommodation limit up to PLN 900. The amended rates also apply indirectly to entities other than the budgetary entities.</w:t>
      </w:r>
    </w:p>
    <w:p w14:paraId="55C8AFCA" w14:textId="77777777" w:rsidR="00E01BCC" w:rsidRPr="00A80F3A" w:rsidRDefault="00E01BCC" w:rsidP="00A80F3A">
      <w:pPr>
        <w:pStyle w:val="Akapitzlist"/>
        <w:jc w:val="both"/>
        <w:rPr>
          <w:rFonts w:asciiTheme="majorHAnsi" w:hAnsiTheme="majorHAnsi" w:cstheme="majorHAnsi"/>
          <w:sz w:val="22"/>
          <w:szCs w:val="22"/>
        </w:rPr>
      </w:pPr>
    </w:p>
    <w:tbl>
      <w:tblPr>
        <w:tblStyle w:val="Tabela-Siatka"/>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4854"/>
        <w:tblLook w:val="04A0" w:firstRow="1" w:lastRow="0" w:firstColumn="1" w:lastColumn="0" w:noHBand="0" w:noVBand="1"/>
      </w:tblPr>
      <w:tblGrid>
        <w:gridCol w:w="10211"/>
      </w:tblGrid>
      <w:tr w:rsidR="00E01BCC" w:rsidRPr="00170DCB" w14:paraId="78C43C58" w14:textId="77777777" w:rsidTr="006E7D78">
        <w:tc>
          <w:tcPr>
            <w:tcW w:w="10211" w:type="dxa"/>
            <w:shd w:val="clear" w:color="auto" w:fill="444854"/>
          </w:tcPr>
          <w:p w14:paraId="0F0CCA94" w14:textId="0E551A59" w:rsidR="00E01BCC" w:rsidRPr="00170DCB" w:rsidRDefault="00E01BCC" w:rsidP="00E01BCC">
            <w:pPr>
              <w:pStyle w:val="Styl1"/>
              <w:spacing w:before="120" w:after="120"/>
              <w:ind w:left="357" w:hanging="357"/>
              <w:rPr>
                <w:rFonts w:asciiTheme="majorHAnsi" w:hAnsiTheme="majorHAnsi" w:cstheme="majorHAnsi"/>
                <w:szCs w:val="22"/>
              </w:rPr>
            </w:pPr>
            <w:bookmarkStart w:id="22" w:name="_Toc128041997"/>
            <w:r w:rsidRPr="79E03DEC">
              <w:rPr>
                <w:rFonts w:asciiTheme="majorHAnsi" w:hAnsiTheme="majorHAnsi" w:cstheme="majorBidi"/>
                <w:color w:val="EFC812"/>
                <w:lang w:bidi="en-GB"/>
              </w:rPr>
              <w:t>Tax reliefs – reminder [CIT, PIT]</w:t>
            </w:r>
            <w:bookmarkEnd w:id="22"/>
          </w:p>
        </w:tc>
      </w:tr>
    </w:tbl>
    <w:p w14:paraId="1B4BFF19" w14:textId="139075CF" w:rsidR="00E01BCC" w:rsidRDefault="00A80F3A" w:rsidP="00E01BCC">
      <w:pPr>
        <w:spacing w:before="120" w:after="0" w:line="240" w:lineRule="auto"/>
        <w:jc w:val="both"/>
        <w:rPr>
          <w:rFonts w:asciiTheme="majorHAnsi" w:hAnsiTheme="majorHAnsi" w:cstheme="majorHAnsi"/>
        </w:rPr>
      </w:pPr>
      <w:r>
        <w:rPr>
          <w:rFonts w:asciiTheme="majorHAnsi" w:hAnsiTheme="majorHAnsi" w:cstheme="majorHAnsi"/>
          <w:lang w:bidi="en-GB"/>
        </w:rPr>
        <w:t>CIT and PIT provisions provide for a number of tax reliefs, including:</w:t>
      </w:r>
    </w:p>
    <w:p w14:paraId="4D8610C3" w14:textId="77777777" w:rsidR="00E01BCC" w:rsidRPr="00056FC3" w:rsidRDefault="00E01BCC" w:rsidP="00E01BCC">
      <w:pPr>
        <w:pStyle w:val="Akapitzlist"/>
        <w:numPr>
          <w:ilvl w:val="0"/>
          <w:numId w:val="11"/>
        </w:numPr>
        <w:spacing w:before="120"/>
        <w:jc w:val="both"/>
        <w:rPr>
          <w:rFonts w:asciiTheme="majorHAnsi" w:hAnsiTheme="majorHAnsi" w:cstheme="majorHAnsi"/>
          <w:sz w:val="22"/>
          <w:szCs w:val="22"/>
        </w:rPr>
      </w:pPr>
      <w:r>
        <w:rPr>
          <w:rFonts w:asciiTheme="majorHAnsi" w:hAnsiTheme="majorHAnsi" w:cstheme="majorHAnsi"/>
          <w:sz w:val="22"/>
          <w:szCs w:val="22"/>
          <w:lang w:bidi="en-GB"/>
        </w:rPr>
        <w:t>R&amp;D relief,</w:t>
      </w:r>
    </w:p>
    <w:p w14:paraId="2B3DE8E6" w14:textId="77777777" w:rsidR="00E01BCC" w:rsidRPr="00056FC3" w:rsidRDefault="00E01BCC" w:rsidP="00E01BCC">
      <w:pPr>
        <w:pStyle w:val="Akapitzlist"/>
        <w:numPr>
          <w:ilvl w:val="0"/>
          <w:numId w:val="11"/>
        </w:numPr>
        <w:spacing w:before="120"/>
        <w:jc w:val="both"/>
        <w:rPr>
          <w:rFonts w:asciiTheme="majorHAnsi" w:hAnsiTheme="majorHAnsi" w:cstheme="majorHAnsi"/>
          <w:sz w:val="22"/>
          <w:szCs w:val="22"/>
        </w:rPr>
      </w:pPr>
      <w:r>
        <w:rPr>
          <w:rFonts w:asciiTheme="majorHAnsi" w:hAnsiTheme="majorHAnsi" w:cstheme="majorHAnsi"/>
          <w:sz w:val="22"/>
          <w:szCs w:val="22"/>
          <w:lang w:bidi="en-GB"/>
        </w:rPr>
        <w:t>relief for a prototype,</w:t>
      </w:r>
    </w:p>
    <w:p w14:paraId="011C9427" w14:textId="77777777" w:rsidR="00E01BCC" w:rsidRPr="00056FC3" w:rsidRDefault="00E01BCC" w:rsidP="00E01BCC">
      <w:pPr>
        <w:pStyle w:val="Akapitzlist"/>
        <w:numPr>
          <w:ilvl w:val="0"/>
          <w:numId w:val="11"/>
        </w:numPr>
        <w:spacing w:before="120"/>
        <w:jc w:val="both"/>
        <w:rPr>
          <w:rFonts w:asciiTheme="majorHAnsi" w:hAnsiTheme="majorHAnsi" w:cstheme="majorHAnsi"/>
          <w:sz w:val="22"/>
          <w:szCs w:val="22"/>
        </w:rPr>
      </w:pPr>
      <w:r>
        <w:rPr>
          <w:rFonts w:asciiTheme="majorHAnsi" w:hAnsiTheme="majorHAnsi" w:cstheme="majorHAnsi"/>
          <w:sz w:val="22"/>
          <w:szCs w:val="22"/>
          <w:lang w:bidi="en-GB"/>
        </w:rPr>
        <w:t>relief for supporting innovative employees,</w:t>
      </w:r>
    </w:p>
    <w:p w14:paraId="406C526B" w14:textId="77777777" w:rsidR="00E01BCC" w:rsidRPr="00056FC3" w:rsidRDefault="00E01BCC" w:rsidP="00E01BCC">
      <w:pPr>
        <w:pStyle w:val="Akapitzlist"/>
        <w:numPr>
          <w:ilvl w:val="0"/>
          <w:numId w:val="11"/>
        </w:numPr>
        <w:spacing w:before="120"/>
        <w:jc w:val="both"/>
        <w:rPr>
          <w:rFonts w:asciiTheme="majorHAnsi" w:hAnsiTheme="majorHAnsi" w:cstheme="majorHAnsi"/>
          <w:sz w:val="22"/>
          <w:szCs w:val="22"/>
        </w:rPr>
      </w:pPr>
      <w:r>
        <w:rPr>
          <w:rFonts w:asciiTheme="majorHAnsi" w:hAnsiTheme="majorHAnsi" w:cstheme="majorHAnsi"/>
          <w:sz w:val="22"/>
          <w:szCs w:val="22"/>
          <w:lang w:bidi="en-GB"/>
        </w:rPr>
        <w:t>relief for robotisation,</w:t>
      </w:r>
    </w:p>
    <w:p w14:paraId="16A299D5" w14:textId="674D176A" w:rsidR="00E01BCC" w:rsidRDefault="00E01BCC" w:rsidP="00E01BCC">
      <w:pPr>
        <w:pStyle w:val="Akapitzlist"/>
        <w:numPr>
          <w:ilvl w:val="0"/>
          <w:numId w:val="11"/>
        </w:numPr>
        <w:spacing w:before="120"/>
        <w:jc w:val="both"/>
        <w:rPr>
          <w:rFonts w:asciiTheme="majorHAnsi" w:hAnsiTheme="majorHAnsi" w:cstheme="majorHAnsi"/>
          <w:sz w:val="22"/>
          <w:szCs w:val="22"/>
        </w:rPr>
      </w:pPr>
      <w:r w:rsidRPr="00056FC3">
        <w:rPr>
          <w:rFonts w:asciiTheme="majorHAnsi" w:hAnsiTheme="majorHAnsi" w:cstheme="majorHAnsi"/>
          <w:sz w:val="22"/>
          <w:szCs w:val="22"/>
          <w:lang w:bidi="en-GB"/>
        </w:rPr>
        <w:t>R&amp;D relief and the IP-Box relief, as well as the possibility of simultaneous use of both of these reliefs,</w:t>
      </w:r>
    </w:p>
    <w:p w14:paraId="76F43FD7" w14:textId="77777777" w:rsidR="00E01BCC" w:rsidRDefault="00E01BCC" w:rsidP="00E01BCC">
      <w:pPr>
        <w:pStyle w:val="Akapitzlist"/>
        <w:numPr>
          <w:ilvl w:val="0"/>
          <w:numId w:val="11"/>
        </w:numPr>
        <w:spacing w:before="120"/>
        <w:jc w:val="both"/>
        <w:rPr>
          <w:rFonts w:asciiTheme="majorHAnsi" w:hAnsiTheme="majorHAnsi" w:cstheme="majorHAnsi"/>
          <w:sz w:val="22"/>
          <w:szCs w:val="22"/>
        </w:rPr>
      </w:pPr>
      <w:r w:rsidRPr="00184BFF">
        <w:rPr>
          <w:rFonts w:asciiTheme="majorHAnsi" w:hAnsiTheme="majorHAnsi" w:cstheme="majorHAnsi"/>
          <w:sz w:val="22"/>
          <w:szCs w:val="22"/>
          <w:lang w:bidi="en-GB"/>
        </w:rPr>
        <w:t>relief for sports and cultural activities as well as activities supporting higher education and science,</w:t>
      </w:r>
    </w:p>
    <w:p w14:paraId="1342158B" w14:textId="77777777" w:rsidR="00E01BCC" w:rsidRDefault="00E01BCC" w:rsidP="00E01BCC">
      <w:pPr>
        <w:pStyle w:val="Akapitzlist"/>
        <w:numPr>
          <w:ilvl w:val="0"/>
          <w:numId w:val="11"/>
        </w:numPr>
        <w:spacing w:before="120"/>
        <w:jc w:val="both"/>
        <w:rPr>
          <w:rFonts w:asciiTheme="majorHAnsi" w:hAnsiTheme="majorHAnsi" w:cstheme="majorHAnsi"/>
          <w:sz w:val="22"/>
          <w:szCs w:val="22"/>
        </w:rPr>
      </w:pPr>
      <w:r>
        <w:rPr>
          <w:rFonts w:asciiTheme="majorHAnsi" w:hAnsiTheme="majorHAnsi" w:cstheme="majorHAnsi"/>
          <w:sz w:val="22"/>
          <w:szCs w:val="22"/>
          <w:lang w:bidi="en-GB"/>
        </w:rPr>
        <w:t>relief for expansion (increase in revenue from sales of products),</w:t>
      </w:r>
    </w:p>
    <w:p w14:paraId="6941217A" w14:textId="13881A32" w:rsidR="00E01BCC" w:rsidRDefault="00E01BCC" w:rsidP="00E01BCC">
      <w:pPr>
        <w:pStyle w:val="Akapitzlist"/>
        <w:numPr>
          <w:ilvl w:val="0"/>
          <w:numId w:val="11"/>
        </w:numPr>
        <w:spacing w:before="120"/>
        <w:jc w:val="both"/>
        <w:rPr>
          <w:rFonts w:asciiTheme="majorHAnsi" w:hAnsiTheme="majorHAnsi" w:cstheme="majorHAnsi"/>
          <w:sz w:val="22"/>
          <w:szCs w:val="22"/>
        </w:rPr>
      </w:pPr>
      <w:r>
        <w:rPr>
          <w:rFonts w:asciiTheme="majorHAnsi" w:hAnsiTheme="majorHAnsi" w:cstheme="majorHAnsi"/>
          <w:sz w:val="22"/>
          <w:szCs w:val="22"/>
          <w:lang w:bidi="en-GB"/>
        </w:rPr>
        <w:t>relief for IPO.</w:t>
      </w:r>
    </w:p>
    <w:p w14:paraId="46705571" w14:textId="430443BC" w:rsidR="00D61CC2" w:rsidRPr="00D61CC2" w:rsidRDefault="00D61CC2" w:rsidP="00D61CC2">
      <w:pPr>
        <w:spacing w:before="120" w:after="0" w:line="240" w:lineRule="auto"/>
        <w:jc w:val="both"/>
        <w:rPr>
          <w:rFonts w:asciiTheme="majorHAnsi" w:hAnsiTheme="majorHAnsi" w:cstheme="majorHAnsi"/>
        </w:rPr>
      </w:pPr>
      <w:r>
        <w:rPr>
          <w:rFonts w:asciiTheme="majorHAnsi" w:hAnsiTheme="majorHAnsi" w:cstheme="majorHAnsi"/>
          <w:lang w:bidi="en-GB"/>
        </w:rPr>
        <w:t xml:space="preserve">On the </w:t>
      </w:r>
      <w:hyperlink r:id="rId17" w:history="1">
        <w:r w:rsidRPr="00D61CC2">
          <w:rPr>
            <w:rStyle w:val="Hipercze"/>
            <w:rFonts w:asciiTheme="majorHAnsi" w:hAnsiTheme="majorHAnsi" w:cstheme="majorHAnsi"/>
            <w:lang w:bidi="en-GB"/>
          </w:rPr>
          <w:t>biznes.gov.pl</w:t>
        </w:r>
      </w:hyperlink>
      <w:r>
        <w:rPr>
          <w:rFonts w:asciiTheme="majorHAnsi" w:hAnsiTheme="majorHAnsi" w:cstheme="majorHAnsi"/>
          <w:lang w:bidi="en-GB"/>
        </w:rPr>
        <w:t xml:space="preserve"> website you may find the article dedicated to selected reliefs.</w:t>
      </w:r>
    </w:p>
    <w:p w14:paraId="6761BE16" w14:textId="77777777" w:rsidR="00D61CC2" w:rsidRPr="00D61CC2" w:rsidRDefault="00D61CC2" w:rsidP="00D61CC2">
      <w:pPr>
        <w:spacing w:before="120" w:after="0" w:line="240" w:lineRule="auto"/>
        <w:jc w:val="both"/>
        <w:rPr>
          <w:rFonts w:asciiTheme="majorHAnsi" w:hAnsiTheme="majorHAnsi" w:cstheme="majorHAnsi"/>
        </w:rPr>
      </w:pPr>
    </w:p>
    <w:p w14:paraId="68A27046" w14:textId="77777777" w:rsidR="00D61CC2" w:rsidRPr="005F721F" w:rsidRDefault="00D61CC2" w:rsidP="00D61CC2">
      <w:pPr>
        <w:pStyle w:val="Zwykytekst"/>
        <w:tabs>
          <w:tab w:val="left" w:pos="2124"/>
          <w:tab w:val="center" w:pos="5102"/>
        </w:tabs>
        <w:rPr>
          <w:rFonts w:asciiTheme="majorHAnsi" w:hAnsiTheme="majorHAnsi" w:cstheme="majorHAnsi"/>
          <w:color w:val="EFC812"/>
          <w:szCs w:val="22"/>
        </w:rPr>
      </w:pPr>
      <w:r w:rsidRPr="005F721F">
        <w:rPr>
          <w:rFonts w:asciiTheme="majorHAnsi" w:hAnsiTheme="majorHAnsi" w:cstheme="majorHAnsi"/>
          <w:color w:val="EFC812"/>
          <w:szCs w:val="22"/>
          <w:lang w:bidi="en-GB"/>
        </w:rPr>
        <w:tab/>
      </w:r>
      <w:r w:rsidRPr="005F721F">
        <w:rPr>
          <w:rFonts w:asciiTheme="majorHAnsi" w:hAnsiTheme="majorHAnsi" w:cstheme="majorHAnsi"/>
          <w:color w:val="EFC812"/>
          <w:szCs w:val="22"/>
          <w:lang w:bidi="en-GB"/>
        </w:rPr>
        <w:tab/>
        <w:t>*</w:t>
      </w:r>
      <w:r w:rsidRPr="005F721F">
        <w:rPr>
          <w:rFonts w:asciiTheme="majorHAnsi" w:hAnsiTheme="majorHAnsi" w:cstheme="majorHAnsi"/>
          <w:color w:val="EFC812"/>
          <w:szCs w:val="22"/>
          <w:lang w:bidi="en-GB"/>
        </w:rPr>
        <w:tab/>
        <w:t>*</w:t>
      </w:r>
      <w:r w:rsidRPr="005F721F">
        <w:rPr>
          <w:rFonts w:asciiTheme="majorHAnsi" w:hAnsiTheme="majorHAnsi" w:cstheme="majorHAnsi"/>
          <w:color w:val="EFC812"/>
          <w:szCs w:val="22"/>
          <w:lang w:bidi="en-GB"/>
        </w:rPr>
        <w:tab/>
        <w:t>*</w:t>
      </w:r>
    </w:p>
    <w:p w14:paraId="75B2F605" w14:textId="2D9ACE91" w:rsidR="00D61CC2" w:rsidRDefault="00D61CC2">
      <w:pPr>
        <w:suppressAutoHyphens w:val="0"/>
        <w:autoSpaceDN/>
        <w:spacing w:after="0" w:line="240" w:lineRule="auto"/>
        <w:textAlignment w:val="auto"/>
        <w:rPr>
          <w:rFonts w:asciiTheme="majorHAnsi" w:hAnsiTheme="majorHAnsi" w:cstheme="majorHAnsi"/>
          <w:b/>
          <w:color w:val="EFC812"/>
        </w:rPr>
      </w:pPr>
    </w:p>
    <w:p w14:paraId="06BA5FB5" w14:textId="1788C9D0" w:rsidR="00E41CBA" w:rsidRPr="00D61CC2" w:rsidRDefault="00E41CBA" w:rsidP="00E41CBA">
      <w:pPr>
        <w:jc w:val="both"/>
        <w:rPr>
          <w:rFonts w:asciiTheme="majorHAnsi" w:hAnsiTheme="majorHAnsi" w:cstheme="majorHAnsi"/>
          <w:b/>
          <w:color w:val="C00000"/>
          <w:sz w:val="20"/>
          <w:szCs w:val="20"/>
        </w:rPr>
      </w:pPr>
      <w:r w:rsidRPr="00D61CC2">
        <w:rPr>
          <w:rFonts w:asciiTheme="majorHAnsi" w:hAnsiTheme="majorHAnsi" w:cstheme="majorHAnsi"/>
          <w:b/>
          <w:color w:val="EFC812"/>
          <w:sz w:val="20"/>
          <w:szCs w:val="20"/>
          <w:lang w:bidi="en-GB"/>
        </w:rPr>
        <w:lastRenderedPageBreak/>
        <w:t>Legal notice</w:t>
      </w:r>
    </w:p>
    <w:p w14:paraId="36F64B97" w14:textId="0253AA30" w:rsidR="00E41CBA" w:rsidRPr="00D61CC2" w:rsidRDefault="00E41CBA" w:rsidP="00E41CBA">
      <w:pPr>
        <w:jc w:val="both"/>
        <w:rPr>
          <w:rFonts w:asciiTheme="majorHAnsi" w:hAnsiTheme="majorHAnsi" w:cstheme="majorHAnsi"/>
          <w:sz w:val="20"/>
          <w:szCs w:val="20"/>
        </w:rPr>
      </w:pPr>
      <w:r w:rsidRPr="00D61CC2">
        <w:rPr>
          <w:rFonts w:asciiTheme="majorHAnsi" w:hAnsiTheme="majorHAnsi" w:cstheme="majorHAnsi"/>
          <w:sz w:val="20"/>
          <w:szCs w:val="20"/>
          <w:lang w:bidi="en-GB"/>
        </w:rPr>
        <w:t>This material was prepared in January 2023 by Mac Auditor Sp. z o.o. From the date of preparation, significant changes concerning the above information may have occurred, including changes in the legal status, changes of interpretation nature or resulting from case-law. The information presented in this material is general and simplified. Numerous detailed issues were omitted. This material serves information purposes only and in particular it should not be used as the only basis for making tax-related decisions. Such decisions should always take into account the complete legal status, interpretations and case-law. Mac Auditor Sp. z o.o. may not be held liable if any information presented in this document is used for any purposes whatsoever. This material is copyrighted and its distribution requires prior written consent of Mac Auditor Sp. z o.o.</w:t>
      </w:r>
    </w:p>
    <w:p w14:paraId="21BEB979" w14:textId="77777777" w:rsidR="00E41CBA" w:rsidRPr="00D61CC2" w:rsidRDefault="00E41CBA" w:rsidP="00E41CBA">
      <w:pPr>
        <w:jc w:val="both"/>
        <w:rPr>
          <w:rFonts w:asciiTheme="majorHAnsi" w:hAnsiTheme="majorHAnsi" w:cstheme="majorHAnsi"/>
          <w:b/>
          <w:sz w:val="20"/>
          <w:szCs w:val="20"/>
        </w:rPr>
      </w:pPr>
    </w:p>
    <w:p w14:paraId="2CDE13BA" w14:textId="50C6BB8B" w:rsidR="00E41CBA" w:rsidRDefault="00E41CBA" w:rsidP="00E41CBA">
      <w:pPr>
        <w:jc w:val="both"/>
        <w:rPr>
          <w:rFonts w:asciiTheme="majorHAnsi" w:hAnsiTheme="majorHAnsi" w:cstheme="majorHAnsi"/>
          <w:sz w:val="20"/>
          <w:szCs w:val="20"/>
        </w:rPr>
      </w:pPr>
      <w:r w:rsidRPr="00D61CC2">
        <w:rPr>
          <w:rFonts w:asciiTheme="majorHAnsi" w:hAnsiTheme="majorHAnsi" w:cstheme="majorHAnsi"/>
          <w:b/>
          <w:color w:val="EFC812"/>
          <w:sz w:val="20"/>
          <w:szCs w:val="20"/>
          <w:lang w:bidi="en-GB"/>
        </w:rPr>
        <w:t xml:space="preserve">Mac Auditor Sp. z </w:t>
      </w:r>
      <w:proofErr w:type="spellStart"/>
      <w:r w:rsidRPr="00D61CC2">
        <w:rPr>
          <w:rFonts w:asciiTheme="majorHAnsi" w:hAnsiTheme="majorHAnsi" w:cstheme="majorHAnsi"/>
          <w:b/>
          <w:color w:val="EFC812"/>
          <w:sz w:val="20"/>
          <w:szCs w:val="20"/>
          <w:lang w:bidi="en-GB"/>
        </w:rPr>
        <w:t>o.o.</w:t>
      </w:r>
      <w:proofErr w:type="spellEnd"/>
      <w:r w:rsidR="00F1765C">
        <w:rPr>
          <w:rFonts w:asciiTheme="majorHAnsi" w:hAnsiTheme="majorHAnsi" w:cstheme="majorHAnsi"/>
          <w:b/>
          <w:color w:val="EFC812"/>
          <w:sz w:val="20"/>
          <w:szCs w:val="20"/>
          <w:lang w:bidi="en-GB"/>
        </w:rPr>
        <w:t xml:space="preserve"> </w:t>
      </w:r>
      <w:r w:rsidRPr="00D61CC2">
        <w:rPr>
          <w:rFonts w:asciiTheme="majorHAnsi" w:hAnsiTheme="majorHAnsi" w:cstheme="majorHAnsi"/>
          <w:sz w:val="20"/>
          <w:szCs w:val="20"/>
          <w:lang w:bidi="en-GB"/>
        </w:rPr>
        <w:t>has been operating on the market since 1994 and specialises in outsourcing services in the area of accounting, HR and payroll. Mac Auditor is an auditing company entered on the list maintained by the Polish National Chamber of Statutory Auditors at number 244 and entered in the register maintained by the PCAOB, an American supervisory organisation, at number 1920.</w:t>
      </w:r>
    </w:p>
    <w:p w14:paraId="4FC5FE2D" w14:textId="79B4E65A" w:rsidR="00D61CC2" w:rsidRDefault="00D61CC2" w:rsidP="00E41CBA">
      <w:pPr>
        <w:jc w:val="both"/>
        <w:rPr>
          <w:rFonts w:asciiTheme="majorHAnsi" w:hAnsiTheme="majorHAnsi" w:cstheme="majorHAnsi"/>
          <w:sz w:val="20"/>
          <w:szCs w:val="20"/>
        </w:rPr>
      </w:pPr>
    </w:p>
    <w:p w14:paraId="4D5C1882" w14:textId="77777777" w:rsidR="00D61CC2" w:rsidRPr="00D61CC2" w:rsidRDefault="00D61CC2" w:rsidP="00E41CBA">
      <w:pPr>
        <w:jc w:val="both"/>
        <w:rPr>
          <w:rFonts w:asciiTheme="majorHAnsi" w:hAnsiTheme="majorHAnsi" w:cstheme="majorHAnsi"/>
          <w:sz w:val="20"/>
          <w:szCs w:val="20"/>
        </w:rPr>
      </w:pPr>
    </w:p>
    <w:p w14:paraId="65CE2B94" w14:textId="349A0337" w:rsidR="00BC31E1" w:rsidRPr="005F721F" w:rsidRDefault="00160AD3" w:rsidP="00E41CBA">
      <w:pPr>
        <w:jc w:val="both"/>
        <w:rPr>
          <w:rFonts w:asciiTheme="majorHAnsi" w:hAnsiTheme="majorHAnsi" w:cstheme="majorHAnsi"/>
        </w:rPr>
      </w:pPr>
      <w:r w:rsidRPr="00160AD3">
        <w:rPr>
          <w:rFonts w:ascii="Arial" w:eastAsia="Arial" w:hAnsi="Arial" w:cs="Arial"/>
          <w:noProof/>
          <w:sz w:val="14"/>
          <w:szCs w:val="14"/>
          <w:lang w:bidi="en-GB"/>
        </w:rPr>
        <mc:AlternateContent>
          <mc:Choice Requires="wps">
            <w:drawing>
              <wp:anchor distT="0" distB="0" distL="114300" distR="114300" simplePos="0" relativeHeight="251658241" behindDoc="0" locked="0" layoutInCell="1" allowOverlap="1" wp14:anchorId="6DD79823" wp14:editId="2DF0961F">
                <wp:simplePos x="0" y="0"/>
                <wp:positionH relativeFrom="column">
                  <wp:posOffset>3368040</wp:posOffset>
                </wp:positionH>
                <wp:positionV relativeFrom="paragraph">
                  <wp:posOffset>248285</wp:posOffset>
                </wp:positionV>
                <wp:extent cx="28575" cy="504825"/>
                <wp:effectExtent l="1905" t="3810" r="0" b="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504825"/>
                        </a:xfrm>
                        <a:prstGeom prst="rect">
                          <a:avLst/>
                        </a:prstGeom>
                        <a:solidFill>
                          <a:srgbClr val="EEC8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75340" id="Prostokąt 27" o:spid="_x0000_s1026" style="position:absolute;margin-left:265.2pt;margin-top:19.55pt;width:2.25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" fillcolor="#eec814" stroked="f">
                <v:textbox inset="0,0,0,0"/>
              </v:rect>
            </w:pict>
          </mc:Fallback>
        </mc:AlternateContent>
      </w:r>
    </w:p>
    <w:p w14:paraId="673D7DB1" w14:textId="0AF3702E" w:rsidR="00F00183" w:rsidRPr="00160AD3" w:rsidRDefault="00F00183" w:rsidP="00160AD3">
      <w:pPr>
        <w:pStyle w:val="Stopka"/>
        <w:tabs>
          <w:tab w:val="clear" w:pos="4536"/>
          <w:tab w:val="left" w:pos="1843"/>
          <w:tab w:val="left" w:pos="5387"/>
        </w:tabs>
        <w:spacing w:line="360" w:lineRule="auto"/>
        <w:rPr>
          <w:rFonts w:ascii="Arial" w:hAnsi="Arial" w:cs="Arial"/>
          <w:sz w:val="14"/>
          <w:szCs w:val="14"/>
        </w:rPr>
      </w:pPr>
      <w:r w:rsidRPr="00160AD3">
        <w:rPr>
          <w:rFonts w:ascii="Arial" w:eastAsia="Arial" w:hAnsi="Arial" w:cs="Arial"/>
          <w:noProof/>
          <w:sz w:val="14"/>
          <w:szCs w:val="14"/>
          <w:lang w:bidi="en-GB"/>
        </w:rPr>
        <mc:AlternateContent>
          <mc:Choice Requires="wps">
            <w:drawing>
              <wp:anchor distT="0" distB="0" distL="114300" distR="114300" simplePos="0" relativeHeight="251658240" behindDoc="0" locked="0" layoutInCell="1" allowOverlap="1" wp14:anchorId="58AD1891" wp14:editId="56DD4001">
                <wp:simplePos x="0" y="0"/>
                <wp:positionH relativeFrom="column">
                  <wp:posOffset>1133475</wp:posOffset>
                </wp:positionH>
                <wp:positionV relativeFrom="paragraph">
                  <wp:posOffset>-39370</wp:posOffset>
                </wp:positionV>
                <wp:extent cx="28575" cy="504825"/>
                <wp:effectExtent l="0" t="0" r="0" b="127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504825"/>
                        </a:xfrm>
                        <a:prstGeom prst="rect">
                          <a:avLst/>
                        </a:prstGeom>
                        <a:solidFill>
                          <a:srgbClr val="EEC8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12170" id="Prostokąt 28" o:spid="_x0000_s1026" style="position:absolute;margin-left:89.25pt;margin-top:-3.1pt;width:2.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" fillcolor="#eec814" stroked="f">
                <v:textbox inset="0,0,0,0"/>
              </v:rect>
            </w:pict>
          </mc:Fallback>
        </mc:AlternateContent>
      </w:r>
      <w:r w:rsidRPr="00160AD3">
        <w:rPr>
          <w:rFonts w:ascii="Arial" w:eastAsia="Arial" w:hAnsi="Arial" w:cs="Arial"/>
          <w:sz w:val="14"/>
          <w:szCs w:val="14"/>
          <w:lang w:bidi="en-GB"/>
        </w:rPr>
        <w:t xml:space="preserve">Mac Auditor Sp. z </w:t>
      </w:r>
      <w:proofErr w:type="spellStart"/>
      <w:r w:rsidRPr="00160AD3">
        <w:rPr>
          <w:rFonts w:ascii="Arial" w:eastAsia="Arial" w:hAnsi="Arial" w:cs="Arial"/>
          <w:sz w:val="14"/>
          <w:szCs w:val="14"/>
          <w:lang w:bidi="en-GB"/>
        </w:rPr>
        <w:t>o.o.</w:t>
      </w:r>
      <w:proofErr w:type="spellEnd"/>
      <w:r w:rsidR="00160AD3" w:rsidRPr="00160AD3">
        <w:rPr>
          <w:rFonts w:ascii="Arial" w:eastAsia="Arial" w:hAnsi="Arial" w:cs="Arial"/>
          <w:sz w:val="14"/>
          <w:szCs w:val="14"/>
          <w:lang w:bidi="en-GB"/>
        </w:rPr>
        <w:tab/>
      </w:r>
      <w:r w:rsidRPr="00160AD3">
        <w:rPr>
          <w:rFonts w:ascii="Arial" w:eastAsia="Arial" w:hAnsi="Arial" w:cs="Arial"/>
          <w:sz w:val="14"/>
          <w:szCs w:val="14"/>
          <w:lang w:bidi="en-GB"/>
        </w:rPr>
        <w:t>T: +48 22 649 27 65</w:t>
      </w:r>
      <w:r w:rsidR="00F1765C" w:rsidRPr="00160AD3">
        <w:rPr>
          <w:rFonts w:ascii="Arial" w:eastAsia="Arial" w:hAnsi="Arial" w:cs="Arial"/>
          <w:sz w:val="14"/>
          <w:szCs w:val="14"/>
          <w:lang w:bidi="en-GB"/>
        </w:rPr>
        <w:t xml:space="preserve"> </w:t>
      </w:r>
      <w:r w:rsidRPr="00160AD3">
        <w:rPr>
          <w:rFonts w:ascii="Arial" w:eastAsia="Arial" w:hAnsi="Arial" w:cs="Arial"/>
          <w:sz w:val="14"/>
          <w:szCs w:val="14"/>
          <w:lang w:bidi="en-GB"/>
        </w:rPr>
        <w:t>F: +48 22 649 27 68</w:t>
      </w:r>
      <w:r w:rsidR="00160AD3" w:rsidRPr="00160AD3">
        <w:rPr>
          <w:rFonts w:ascii="Arial" w:eastAsia="Arial" w:hAnsi="Arial" w:cs="Arial"/>
          <w:sz w:val="14"/>
          <w:szCs w:val="14"/>
          <w:lang w:bidi="en-GB"/>
        </w:rPr>
        <w:tab/>
      </w:r>
      <w:r w:rsidRPr="00160AD3">
        <w:rPr>
          <w:rFonts w:ascii="Arial" w:eastAsia="Arial" w:hAnsi="Arial" w:cs="Arial"/>
          <w:sz w:val="14"/>
          <w:szCs w:val="14"/>
          <w:lang w:bidi="en-GB"/>
        </w:rPr>
        <w:t>District Court for the Capital City of Warsaw, 13th [XIII] Commercial Division</w:t>
      </w:r>
      <w:r w:rsidRPr="00160AD3">
        <w:rPr>
          <w:rFonts w:ascii="Arial" w:eastAsia="Arial" w:hAnsi="Arial" w:cs="Arial"/>
          <w:sz w:val="14"/>
          <w:szCs w:val="14"/>
          <w:lang w:bidi="en-GB"/>
        </w:rPr>
        <w:br/>
        <w:t xml:space="preserve">ul. </w:t>
      </w:r>
      <w:proofErr w:type="spellStart"/>
      <w:r w:rsidRPr="00160AD3">
        <w:rPr>
          <w:rFonts w:ascii="Arial" w:eastAsia="Arial" w:hAnsi="Arial" w:cs="Arial"/>
          <w:sz w:val="14"/>
          <w:szCs w:val="14"/>
          <w:lang w:bidi="en-GB"/>
        </w:rPr>
        <w:t>Obrzeżna</w:t>
      </w:r>
      <w:proofErr w:type="spellEnd"/>
      <w:r w:rsidRPr="00160AD3">
        <w:rPr>
          <w:rFonts w:ascii="Arial" w:eastAsia="Arial" w:hAnsi="Arial" w:cs="Arial"/>
          <w:sz w:val="14"/>
          <w:szCs w:val="14"/>
          <w:lang w:bidi="en-GB"/>
        </w:rPr>
        <w:t xml:space="preserve"> 5 / 8p.,</w:t>
      </w:r>
      <w:r w:rsidR="00160AD3">
        <w:rPr>
          <w:rFonts w:ascii="Arial" w:eastAsia="Arial" w:hAnsi="Arial" w:cs="Arial"/>
          <w:sz w:val="14"/>
          <w:szCs w:val="14"/>
          <w:lang w:bidi="en-GB"/>
        </w:rPr>
        <w:tab/>
      </w:r>
      <w:r w:rsidR="00160AD3" w:rsidRPr="00160AD3">
        <w:rPr>
          <w:rFonts w:ascii="Arial" w:eastAsia="Arial" w:hAnsi="Arial" w:cs="Arial"/>
          <w:sz w:val="14"/>
          <w:szCs w:val="14"/>
          <w:lang w:bidi="en-GB"/>
        </w:rPr>
        <w:t>macauditor@macauditor.pl</w:t>
      </w:r>
      <w:r w:rsidR="00160AD3">
        <w:rPr>
          <w:rFonts w:ascii="Arial" w:eastAsia="Arial" w:hAnsi="Arial" w:cs="Arial"/>
          <w:sz w:val="14"/>
          <w:szCs w:val="14"/>
          <w:lang w:bidi="en-GB"/>
        </w:rPr>
        <w:tab/>
      </w:r>
      <w:r w:rsidRPr="00160AD3">
        <w:rPr>
          <w:rFonts w:ascii="Arial" w:eastAsia="Arial" w:hAnsi="Arial" w:cs="Arial"/>
          <w:sz w:val="14"/>
          <w:szCs w:val="14"/>
          <w:lang w:bidi="en-GB"/>
        </w:rPr>
        <w:t>KRS (National Court Register): 0000099338 NIP (Tax ID): 118 00 64610</w:t>
      </w:r>
    </w:p>
    <w:p w14:paraId="4C7F61A6" w14:textId="7219B38A" w:rsidR="00F00183" w:rsidRPr="00160AD3" w:rsidRDefault="00F00183" w:rsidP="00160AD3">
      <w:pPr>
        <w:pStyle w:val="Podstawowyakapit"/>
        <w:tabs>
          <w:tab w:val="left" w:pos="1843"/>
          <w:tab w:val="left" w:pos="5387"/>
        </w:tabs>
        <w:rPr>
          <w:rStyle w:val="Hipercze"/>
          <w:rFonts w:ascii="Arial" w:hAnsi="Arial" w:cs="Arial"/>
          <w:color w:val="000000"/>
          <w:sz w:val="14"/>
          <w:szCs w:val="14"/>
          <w:u w:val="none"/>
        </w:rPr>
      </w:pPr>
      <w:r w:rsidRPr="00160AD3">
        <w:rPr>
          <w:rFonts w:ascii="Arial" w:eastAsia="Arial" w:hAnsi="Arial" w:cs="Arial"/>
          <w:sz w:val="14"/>
          <w:szCs w:val="14"/>
          <w:lang w:bidi="en-GB"/>
        </w:rPr>
        <w:t>02-691 Warsaw</w:t>
      </w:r>
      <w:r w:rsidR="00160AD3">
        <w:rPr>
          <w:rFonts w:ascii="Arial" w:eastAsia="Arial" w:hAnsi="Arial" w:cs="Arial"/>
          <w:sz w:val="14"/>
          <w:szCs w:val="14"/>
          <w:lang w:bidi="en-GB"/>
        </w:rPr>
        <w:tab/>
      </w:r>
      <w:r w:rsidR="00160AD3" w:rsidRPr="00160AD3">
        <w:rPr>
          <w:rFonts w:ascii="Arial" w:eastAsia="Arial" w:hAnsi="Arial" w:cs="Arial"/>
          <w:sz w:val="14"/>
          <w:szCs w:val="14"/>
          <w:lang w:bidi="en-GB"/>
        </w:rPr>
        <w:t>www.macauditor.pl</w:t>
      </w:r>
      <w:r w:rsidR="00160AD3">
        <w:rPr>
          <w:rFonts w:ascii="Arial" w:eastAsia="Arial" w:hAnsi="Arial" w:cs="Arial"/>
          <w:sz w:val="14"/>
          <w:szCs w:val="14"/>
          <w:lang w:bidi="en-GB"/>
        </w:rPr>
        <w:tab/>
      </w:r>
      <w:r w:rsidRPr="00160AD3">
        <w:rPr>
          <w:rFonts w:ascii="Arial" w:eastAsia="Arial" w:hAnsi="Arial" w:cs="Arial"/>
          <w:sz w:val="14"/>
          <w:szCs w:val="14"/>
          <w:lang w:bidi="en-GB"/>
        </w:rPr>
        <w:t>Share Capital: PLN 100,000; Auditing Company no 244</w:t>
      </w:r>
    </w:p>
    <w:sectPr w:rsidR="00F00183" w:rsidRPr="00160AD3" w:rsidSect="00772EE5">
      <w:headerReference w:type="default" r:id="rId18"/>
      <w:footerReference w:type="default" r:id="rId19"/>
      <w:headerReference w:type="first" r:id="rId20"/>
      <w:footerReference w:type="first" r:id="rId21"/>
      <w:pgSz w:w="11906" w:h="16838"/>
      <w:pgMar w:top="1985" w:right="851" w:bottom="1276" w:left="851" w:header="624"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087F" w14:textId="77777777" w:rsidR="00E0561F" w:rsidRDefault="00E0561F">
      <w:pPr>
        <w:spacing w:after="0" w:line="240" w:lineRule="auto"/>
      </w:pPr>
      <w:r>
        <w:separator/>
      </w:r>
    </w:p>
  </w:endnote>
  <w:endnote w:type="continuationSeparator" w:id="0">
    <w:p w14:paraId="6371F018" w14:textId="77777777" w:rsidR="00E0561F" w:rsidRDefault="00E0561F">
      <w:pPr>
        <w:spacing w:after="0" w:line="240" w:lineRule="auto"/>
      </w:pPr>
      <w:r>
        <w:continuationSeparator/>
      </w:r>
    </w:p>
  </w:endnote>
  <w:endnote w:type="continuationNotice" w:id="1">
    <w:p w14:paraId="257904EE" w14:textId="77777777" w:rsidR="00E0561F" w:rsidRDefault="00E05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3665" w14:textId="0D8D3CDE" w:rsidR="00FC41C8" w:rsidRPr="00572DA8" w:rsidRDefault="00572DA8" w:rsidP="00F1765C">
    <w:pPr>
      <w:pStyle w:val="Stopka"/>
      <w:tabs>
        <w:tab w:val="clear" w:pos="4536"/>
        <w:tab w:val="center" w:pos="8931"/>
      </w:tabs>
      <w:spacing w:line="360" w:lineRule="auto"/>
      <w:rPr>
        <w:rFonts w:ascii="Arial" w:hAnsi="Arial" w:cs="Arial"/>
        <w:sz w:val="18"/>
        <w:szCs w:val="18"/>
      </w:rPr>
    </w:pPr>
    <w:r w:rsidRPr="00572DA8">
      <w:rPr>
        <w:rFonts w:asciiTheme="majorHAnsi" w:hAnsiTheme="majorHAnsi" w:cstheme="majorHAnsi"/>
        <w:sz w:val="18"/>
        <w:szCs w:val="18"/>
        <w:lang w:bidi="en-GB"/>
      </w:rPr>
      <w:t>© Copyright by Mac Auditor Sp. z o. o., January 2023</w:t>
    </w:r>
    <w:r w:rsidRPr="00572DA8">
      <w:rPr>
        <w:rFonts w:asciiTheme="majorHAnsi" w:hAnsiTheme="majorHAnsi" w:cstheme="majorHAnsi"/>
        <w:sz w:val="18"/>
        <w:szCs w:val="18"/>
        <w:lang w:bidi="en-GB"/>
      </w:rPr>
      <w:tab/>
      <w:t xml:space="preserve">page </w:t>
    </w:r>
    <w:r w:rsidR="00FC41C8" w:rsidRPr="00572DA8">
      <w:rPr>
        <w:rFonts w:ascii="Arial" w:eastAsia="Arial" w:hAnsi="Arial" w:cs="Arial"/>
        <w:sz w:val="18"/>
        <w:szCs w:val="18"/>
        <w:lang w:bidi="en-GB"/>
      </w:rPr>
      <w:fldChar w:fldCharType="begin"/>
    </w:r>
    <w:r w:rsidR="00FC41C8" w:rsidRPr="00572DA8">
      <w:rPr>
        <w:rFonts w:ascii="Arial" w:eastAsia="Arial" w:hAnsi="Arial" w:cs="Arial"/>
        <w:sz w:val="18"/>
        <w:szCs w:val="18"/>
        <w:lang w:bidi="en-GB"/>
      </w:rPr>
      <w:instrText xml:space="preserve"> PAGE   \* MERGEFORMAT </w:instrText>
    </w:r>
    <w:r w:rsidR="00FC41C8" w:rsidRPr="00572DA8">
      <w:rPr>
        <w:rFonts w:ascii="Arial" w:eastAsia="Arial" w:hAnsi="Arial" w:cs="Arial"/>
        <w:sz w:val="18"/>
        <w:szCs w:val="18"/>
        <w:lang w:bidi="en-GB"/>
      </w:rPr>
      <w:fldChar w:fldCharType="separate"/>
    </w:r>
    <w:r w:rsidR="00FC41C8" w:rsidRPr="00572DA8">
      <w:rPr>
        <w:rFonts w:ascii="Arial" w:eastAsia="Arial" w:hAnsi="Arial" w:cs="Arial"/>
        <w:noProof/>
        <w:sz w:val="18"/>
        <w:szCs w:val="18"/>
        <w:lang w:bidi="en-GB"/>
      </w:rPr>
      <w:t>1</w:t>
    </w:r>
    <w:r w:rsidR="00FC41C8" w:rsidRPr="00572DA8">
      <w:rPr>
        <w:rFonts w:ascii="Arial" w:eastAsia="Arial" w:hAnsi="Arial" w:cs="Arial"/>
        <w:sz w:val="18"/>
        <w:szCs w:val="18"/>
        <w:lang w:bidi="en-GB"/>
      </w:rPr>
      <w:fldChar w:fldCharType="end"/>
    </w:r>
    <w:r w:rsidR="00FC41C8" w:rsidRPr="00572DA8">
      <w:rPr>
        <w:rFonts w:ascii="Arial" w:eastAsia="Arial" w:hAnsi="Arial" w:cs="Arial"/>
        <w:sz w:val="18"/>
        <w:szCs w:val="18"/>
        <w:lang w:bidi="en-GB"/>
      </w:rPr>
      <w:t xml:space="preserve"> of </w:t>
    </w:r>
    <w:r w:rsidR="00FC41C8" w:rsidRPr="00572DA8">
      <w:rPr>
        <w:rFonts w:ascii="Arial" w:eastAsia="Arial" w:hAnsi="Arial" w:cs="Arial"/>
        <w:sz w:val="18"/>
        <w:szCs w:val="18"/>
        <w:lang w:bidi="en-GB"/>
      </w:rPr>
      <w:fldChar w:fldCharType="begin"/>
    </w:r>
    <w:r w:rsidR="00FC41C8" w:rsidRPr="00572DA8">
      <w:rPr>
        <w:rFonts w:ascii="Arial" w:eastAsia="Arial" w:hAnsi="Arial" w:cs="Arial"/>
        <w:sz w:val="18"/>
        <w:szCs w:val="18"/>
        <w:lang w:bidi="en-GB"/>
      </w:rPr>
      <w:instrText xml:space="preserve"> NUMPAGES   \* MERGEFORMAT </w:instrText>
    </w:r>
    <w:r w:rsidR="00FC41C8" w:rsidRPr="00572DA8">
      <w:rPr>
        <w:rFonts w:ascii="Arial" w:eastAsia="Arial" w:hAnsi="Arial" w:cs="Arial"/>
        <w:sz w:val="18"/>
        <w:szCs w:val="18"/>
        <w:lang w:bidi="en-GB"/>
      </w:rPr>
      <w:fldChar w:fldCharType="separate"/>
    </w:r>
    <w:r w:rsidR="00FC41C8" w:rsidRPr="00572DA8">
      <w:rPr>
        <w:rFonts w:ascii="Arial" w:eastAsia="Arial" w:hAnsi="Arial" w:cs="Arial"/>
        <w:noProof/>
        <w:sz w:val="18"/>
        <w:szCs w:val="18"/>
        <w:lang w:bidi="en-GB"/>
      </w:rPr>
      <w:t>1</w:t>
    </w:r>
    <w:r w:rsidR="00FC41C8" w:rsidRPr="00572DA8">
      <w:rPr>
        <w:rFonts w:ascii="Arial" w:eastAsia="Arial" w:hAnsi="Arial" w:cs="Arial"/>
        <w:sz w:val="18"/>
        <w:szCs w:val="18"/>
        <w:lang w:bidi="en-GB"/>
      </w:rPr>
      <w:fldChar w:fldCharType="end"/>
    </w:r>
  </w:p>
  <w:p w14:paraId="62FB1E72" w14:textId="1DFA4F2E" w:rsidR="00FC41C8" w:rsidRPr="00394030" w:rsidRDefault="00FC41C8">
    <w:pPr>
      <w:pStyle w:val="Stopka"/>
      <w:tabs>
        <w:tab w:val="clear" w:pos="4536"/>
        <w:tab w:val="clear" w:pos="9072"/>
        <w:tab w:val="center" w:pos="5102"/>
        <w:tab w:val="right" w:pos="10204"/>
      </w:tabs>
      <w:spacing w:line="36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7B1D" w14:textId="77777777" w:rsidR="00FC41C8" w:rsidRPr="00C93C0C" w:rsidRDefault="00FC41C8" w:rsidP="00DE5248">
    <w:pPr>
      <w:pStyle w:val="Stopka"/>
      <w:spacing w:line="360" w:lineRule="auto"/>
      <w:rPr>
        <w:rFonts w:ascii="Arial" w:hAnsi="Arial" w:cs="Arial"/>
        <w:sz w:val="16"/>
        <w:szCs w:val="16"/>
      </w:rPr>
    </w:pPr>
    <w:r w:rsidRPr="00A86F7F">
      <w:rPr>
        <w:rFonts w:ascii="Arial" w:eastAsia="Arial" w:hAnsi="Arial" w:cs="Arial"/>
        <w:sz w:val="16"/>
        <w:szCs w:val="16"/>
        <w:lang w:bidi="en-GB"/>
      </w:rPr>
      <w:t xml:space="preserve">page </w:t>
    </w:r>
    <w:r>
      <w:rPr>
        <w:rFonts w:ascii="Arial" w:eastAsia="Arial" w:hAnsi="Arial" w:cs="Arial"/>
        <w:sz w:val="16"/>
        <w:szCs w:val="16"/>
        <w:lang w:bidi="en-GB"/>
      </w:rPr>
      <w:fldChar w:fldCharType="begin"/>
    </w:r>
    <w:r w:rsidRPr="00C93C0C">
      <w:rPr>
        <w:rFonts w:ascii="Arial" w:eastAsia="Arial" w:hAnsi="Arial" w:cs="Arial"/>
        <w:sz w:val="16"/>
        <w:szCs w:val="16"/>
        <w:lang w:bidi="en-GB"/>
      </w:rPr>
      <w:instrText xml:space="preserve"> PAGE   \* MERGEFORMAT </w:instrText>
    </w:r>
    <w:r>
      <w:rPr>
        <w:rFonts w:ascii="Arial" w:eastAsia="Arial" w:hAnsi="Arial" w:cs="Arial"/>
        <w:sz w:val="16"/>
        <w:szCs w:val="16"/>
        <w:lang w:bidi="en-GB"/>
      </w:rPr>
      <w:fldChar w:fldCharType="separate"/>
    </w:r>
    <w:r w:rsidRPr="00DE5248">
      <w:rPr>
        <w:rFonts w:ascii="Arial" w:eastAsia="Arial" w:hAnsi="Arial" w:cs="Arial"/>
        <w:sz w:val="16"/>
        <w:szCs w:val="16"/>
        <w:lang w:bidi="en-GB"/>
      </w:rPr>
      <w:t>2</w:t>
    </w:r>
    <w:r>
      <w:rPr>
        <w:rFonts w:ascii="Arial" w:eastAsia="Arial" w:hAnsi="Arial" w:cs="Arial"/>
        <w:sz w:val="16"/>
        <w:szCs w:val="16"/>
        <w:lang w:bidi="en-GB"/>
      </w:rPr>
      <w:fldChar w:fldCharType="end"/>
    </w:r>
    <w:r w:rsidRPr="00A86F7F">
      <w:rPr>
        <w:rFonts w:ascii="Arial" w:eastAsia="Arial" w:hAnsi="Arial" w:cs="Arial"/>
        <w:sz w:val="16"/>
        <w:szCs w:val="16"/>
        <w:lang w:bidi="en-GB"/>
      </w:rPr>
      <w:t xml:space="preserve"> of </w:t>
    </w:r>
    <w:r>
      <w:rPr>
        <w:rFonts w:ascii="Arial" w:eastAsia="Arial" w:hAnsi="Arial" w:cs="Arial"/>
        <w:sz w:val="16"/>
        <w:szCs w:val="16"/>
        <w:lang w:bidi="en-GB"/>
      </w:rPr>
      <w:fldChar w:fldCharType="begin"/>
    </w:r>
    <w:r w:rsidRPr="00C93C0C">
      <w:rPr>
        <w:rFonts w:ascii="Arial" w:eastAsia="Arial" w:hAnsi="Arial" w:cs="Arial"/>
        <w:sz w:val="16"/>
        <w:szCs w:val="16"/>
        <w:lang w:bidi="en-GB"/>
      </w:rPr>
      <w:instrText xml:space="preserve"> NUMPAGES   \* MERGEFORMAT </w:instrText>
    </w:r>
    <w:r>
      <w:rPr>
        <w:rFonts w:ascii="Arial" w:eastAsia="Arial" w:hAnsi="Arial" w:cs="Arial"/>
        <w:sz w:val="16"/>
        <w:szCs w:val="16"/>
        <w:lang w:bidi="en-GB"/>
      </w:rPr>
      <w:fldChar w:fldCharType="separate"/>
    </w:r>
    <w:r w:rsidRPr="00DE5248">
      <w:rPr>
        <w:rFonts w:ascii="Arial" w:eastAsia="Arial" w:hAnsi="Arial" w:cs="Arial"/>
        <w:sz w:val="16"/>
        <w:szCs w:val="16"/>
        <w:lang w:bidi="en-GB"/>
      </w:rPr>
      <w:t>3</w:t>
    </w:r>
    <w:r>
      <w:rPr>
        <w:rFonts w:ascii="Arial" w:eastAsia="Arial" w:hAnsi="Arial" w:cs="Arial"/>
        <w:sz w:val="16"/>
        <w:szCs w:val="16"/>
        <w:lang w:bidi="en-GB"/>
      </w:rPr>
      <w:fldChar w:fldCharType="end"/>
    </w:r>
  </w:p>
  <w:p w14:paraId="4EAEDDB4" w14:textId="77777777" w:rsidR="00FC41C8" w:rsidRPr="00C93C0C" w:rsidRDefault="00FC41C8" w:rsidP="00DE5248">
    <w:pPr>
      <w:pStyle w:val="Stopka"/>
      <w:spacing w:line="360" w:lineRule="auto"/>
      <w:rPr>
        <w:rFonts w:ascii="Arial" w:hAnsi="Arial" w:cs="Arial"/>
        <w:sz w:val="16"/>
        <w:szCs w:val="16"/>
      </w:rPr>
    </w:pPr>
  </w:p>
  <w:p w14:paraId="257C17E3" w14:textId="556C0C6F" w:rsidR="00FC41C8" w:rsidRPr="00394030" w:rsidRDefault="00FC41C8" w:rsidP="00DE5248">
    <w:pPr>
      <w:pStyle w:val="Stopka"/>
      <w:spacing w:line="360" w:lineRule="auto"/>
      <w:rPr>
        <w:rFonts w:ascii="Arial" w:hAnsi="Arial" w:cs="Arial"/>
        <w:sz w:val="16"/>
        <w:szCs w:val="16"/>
      </w:rPr>
    </w:pPr>
    <w:r>
      <w:rPr>
        <w:rFonts w:ascii="Arial" w:eastAsia="Arial" w:hAnsi="Arial" w:cs="Arial"/>
        <w:noProof/>
        <w:sz w:val="16"/>
        <w:szCs w:val="16"/>
        <w:lang w:bidi="en-GB"/>
      </w:rPr>
      <mc:AlternateContent>
        <mc:Choice Requires="wps">
          <w:drawing>
            <wp:anchor distT="0" distB="0" distL="114300" distR="114300" simplePos="0" relativeHeight="251658244" behindDoc="0" locked="0" layoutInCell="1" allowOverlap="1" wp14:anchorId="6D1D87EB" wp14:editId="11EE6DA0">
              <wp:simplePos x="0" y="0"/>
              <wp:positionH relativeFrom="column">
                <wp:posOffset>1133475</wp:posOffset>
              </wp:positionH>
              <wp:positionV relativeFrom="paragraph">
                <wp:posOffset>-39370</wp:posOffset>
              </wp:positionV>
              <wp:extent cx="28575" cy="504825"/>
              <wp:effectExtent l="0" t="0" r="0" b="127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504825"/>
                      </a:xfrm>
                      <a:prstGeom prst="rect">
                        <a:avLst/>
                      </a:prstGeom>
                      <a:solidFill>
                        <a:srgbClr val="EEC8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587F" id="Rectangle 13" o:spid="_x0000_s1026" style="position:absolute;margin-left:89.25pt;margin-top:-3.1pt;width:2.25pt;height:39.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" fillcolor="#eec814" stroked="f">
              <v:textbox inset="0,0,0,0"/>
            </v:rect>
          </w:pict>
        </mc:Fallback>
      </mc:AlternateContent>
    </w:r>
    <w:r>
      <w:rPr>
        <w:rFonts w:ascii="Arial" w:eastAsia="Arial" w:hAnsi="Arial" w:cs="Arial"/>
        <w:noProof/>
        <w:sz w:val="16"/>
        <w:szCs w:val="16"/>
        <w:lang w:bidi="en-GB"/>
      </w:rPr>
      <mc:AlternateContent>
        <mc:Choice Requires="wps">
          <w:drawing>
            <wp:anchor distT="0" distB="0" distL="114300" distR="114300" simplePos="0" relativeHeight="251658245" behindDoc="0" locked="0" layoutInCell="1" allowOverlap="1" wp14:anchorId="20F43E01" wp14:editId="0C3205BD">
              <wp:simplePos x="0" y="0"/>
              <wp:positionH relativeFrom="column">
                <wp:posOffset>3421380</wp:posOffset>
              </wp:positionH>
              <wp:positionV relativeFrom="paragraph">
                <wp:posOffset>-34290</wp:posOffset>
              </wp:positionV>
              <wp:extent cx="28575" cy="504825"/>
              <wp:effectExtent l="1905" t="381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504825"/>
                      </a:xfrm>
                      <a:prstGeom prst="rect">
                        <a:avLst/>
                      </a:prstGeom>
                      <a:solidFill>
                        <a:srgbClr val="EEC8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F5108" id="Rectangle 14" o:spid="_x0000_s1026" style="position:absolute;margin-left:269.4pt;margin-top:-2.7pt;width:2.25pt;height:39.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" fillcolor="#eec814" stroked="f">
              <v:textbox inset="0,0,0,0"/>
            </v:rect>
          </w:pict>
        </mc:Fallback>
      </mc:AlternateContent>
    </w:r>
    <w:r w:rsidRPr="00FC6EFB">
      <w:rPr>
        <w:rFonts w:ascii="Arial" w:eastAsia="Arial" w:hAnsi="Arial" w:cs="Arial"/>
        <w:sz w:val="16"/>
        <w:szCs w:val="16"/>
        <w:lang w:bidi="en-GB"/>
      </w:rPr>
      <w:t xml:space="preserve">Mac Auditor Sp. z </w:t>
    </w:r>
    <w:proofErr w:type="spellStart"/>
    <w:r w:rsidRPr="00FC6EFB">
      <w:rPr>
        <w:rFonts w:ascii="Arial" w:eastAsia="Arial" w:hAnsi="Arial" w:cs="Arial"/>
        <w:sz w:val="16"/>
        <w:szCs w:val="16"/>
        <w:lang w:bidi="en-GB"/>
      </w:rPr>
      <w:t>o.o.</w:t>
    </w:r>
    <w:proofErr w:type="spellEnd"/>
    <w:r w:rsidR="00F1765C">
      <w:rPr>
        <w:rFonts w:ascii="Arial" w:eastAsia="Arial" w:hAnsi="Arial" w:cs="Arial"/>
        <w:sz w:val="16"/>
        <w:szCs w:val="16"/>
        <w:lang w:bidi="en-GB"/>
      </w:rPr>
      <w:t xml:space="preserve"> </w:t>
    </w:r>
    <w:r w:rsidRPr="00FC6EFB">
      <w:rPr>
        <w:rFonts w:ascii="Arial" w:eastAsia="Arial" w:hAnsi="Arial" w:cs="Arial"/>
        <w:sz w:val="16"/>
        <w:szCs w:val="16"/>
        <w:lang w:bidi="en-GB"/>
      </w:rPr>
      <w:t>T: +48 22 649 27 65</w:t>
    </w:r>
    <w:r w:rsidR="00F1765C">
      <w:rPr>
        <w:rFonts w:ascii="Arial" w:eastAsia="Arial" w:hAnsi="Arial" w:cs="Arial"/>
        <w:sz w:val="16"/>
        <w:szCs w:val="16"/>
        <w:lang w:bidi="en-GB"/>
      </w:rPr>
      <w:t xml:space="preserve"> </w:t>
    </w:r>
    <w:r w:rsidRPr="00FC6EFB">
      <w:rPr>
        <w:rFonts w:ascii="Arial" w:eastAsia="Arial" w:hAnsi="Arial" w:cs="Arial"/>
        <w:sz w:val="16"/>
        <w:szCs w:val="16"/>
        <w:lang w:bidi="en-GB"/>
      </w:rPr>
      <w:t>F: +48 22 649 27 68</w:t>
    </w:r>
    <w:r w:rsidR="00F1765C">
      <w:rPr>
        <w:rFonts w:ascii="Arial" w:eastAsia="Arial" w:hAnsi="Arial" w:cs="Arial"/>
        <w:sz w:val="16"/>
        <w:szCs w:val="16"/>
        <w:lang w:bidi="en-GB"/>
      </w:rPr>
      <w:t xml:space="preserve"> </w:t>
    </w:r>
    <w:r w:rsidRPr="00FC6EFB">
      <w:rPr>
        <w:rFonts w:ascii="Arial" w:eastAsia="Arial" w:hAnsi="Arial" w:cs="Arial"/>
        <w:sz w:val="16"/>
        <w:szCs w:val="16"/>
        <w:lang w:bidi="en-GB"/>
      </w:rPr>
      <w:t>District Court for the Capital City of Warsaw, 13th [XIII] Commercial Division</w:t>
    </w:r>
    <w:r w:rsidRPr="00FC6EFB">
      <w:rPr>
        <w:rFonts w:ascii="Arial" w:eastAsia="Arial" w:hAnsi="Arial" w:cs="Arial"/>
        <w:sz w:val="16"/>
        <w:szCs w:val="16"/>
        <w:lang w:bidi="en-GB"/>
      </w:rPr>
      <w:br/>
      <w:t xml:space="preserve">ul. </w:t>
    </w:r>
    <w:proofErr w:type="spellStart"/>
    <w:r w:rsidRPr="00FC6EFB">
      <w:rPr>
        <w:rFonts w:ascii="Arial" w:eastAsia="Arial" w:hAnsi="Arial" w:cs="Arial"/>
        <w:sz w:val="16"/>
        <w:szCs w:val="16"/>
        <w:lang w:bidi="en-GB"/>
      </w:rPr>
      <w:t>Obrzeżna</w:t>
    </w:r>
    <w:proofErr w:type="spellEnd"/>
    <w:r w:rsidRPr="00FC6EFB">
      <w:rPr>
        <w:rFonts w:ascii="Arial" w:eastAsia="Arial" w:hAnsi="Arial" w:cs="Arial"/>
        <w:sz w:val="16"/>
        <w:szCs w:val="16"/>
        <w:lang w:bidi="en-GB"/>
      </w:rPr>
      <w:t xml:space="preserve"> 5 / 8p.,</w:t>
    </w:r>
    <w:r w:rsidR="00F1765C">
      <w:rPr>
        <w:rFonts w:ascii="Arial" w:eastAsia="Arial" w:hAnsi="Arial" w:cs="Arial"/>
        <w:sz w:val="16"/>
        <w:szCs w:val="16"/>
        <w:lang w:bidi="en-GB"/>
      </w:rPr>
      <w:t xml:space="preserve"> </w:t>
    </w:r>
    <w:r w:rsidRPr="00FC6EFB">
      <w:rPr>
        <w:rFonts w:ascii="Arial" w:eastAsia="Arial" w:hAnsi="Arial" w:cs="Arial"/>
        <w:sz w:val="16"/>
        <w:szCs w:val="16"/>
        <w:lang w:bidi="en-GB"/>
      </w:rPr>
      <w:t>macauditor@macauditor.pl</w:t>
    </w:r>
    <w:r w:rsidR="00F1765C">
      <w:rPr>
        <w:rFonts w:ascii="Arial" w:eastAsia="Arial" w:hAnsi="Arial" w:cs="Arial"/>
        <w:sz w:val="16"/>
        <w:szCs w:val="16"/>
        <w:lang w:bidi="en-GB"/>
      </w:rPr>
      <w:t xml:space="preserve"> </w:t>
    </w:r>
    <w:r w:rsidRPr="00FC6EFB">
      <w:rPr>
        <w:rFonts w:ascii="Arial" w:eastAsia="Arial" w:hAnsi="Arial" w:cs="Arial"/>
        <w:sz w:val="16"/>
        <w:szCs w:val="16"/>
        <w:lang w:bidi="en-GB"/>
      </w:rPr>
      <w:t>KRS (National Court Register): 0000099338 NIP (Tax ID): 118 00 64610</w:t>
    </w:r>
  </w:p>
  <w:p w14:paraId="24AD1C9C" w14:textId="223E39C6" w:rsidR="00FC41C8" w:rsidRPr="00394030" w:rsidRDefault="00FC41C8" w:rsidP="00DE5248">
    <w:pPr>
      <w:pStyle w:val="Podstawowyakapit"/>
      <w:rPr>
        <w:rFonts w:ascii="Arial" w:hAnsi="Arial" w:cs="Arial"/>
        <w:sz w:val="16"/>
        <w:szCs w:val="16"/>
      </w:rPr>
    </w:pPr>
    <w:r w:rsidRPr="00394030">
      <w:rPr>
        <w:rFonts w:ascii="Arial" w:eastAsia="Arial" w:hAnsi="Arial" w:cs="Arial"/>
        <w:sz w:val="16"/>
        <w:szCs w:val="16"/>
        <w:lang w:bidi="en-GB"/>
      </w:rPr>
      <w:t>02-691 Warsaw</w:t>
    </w:r>
    <w:r w:rsidR="00F1765C">
      <w:rPr>
        <w:rFonts w:ascii="Arial" w:eastAsia="Arial" w:hAnsi="Arial" w:cs="Arial"/>
        <w:sz w:val="16"/>
        <w:szCs w:val="16"/>
        <w:lang w:bidi="en-GB"/>
      </w:rPr>
      <w:t xml:space="preserve"> </w:t>
    </w:r>
    <w:r w:rsidRPr="00394030">
      <w:rPr>
        <w:rFonts w:ascii="Arial" w:eastAsia="Arial" w:hAnsi="Arial" w:cs="Arial"/>
        <w:sz w:val="16"/>
        <w:szCs w:val="16"/>
        <w:lang w:bidi="en-GB"/>
      </w:rPr>
      <w:t>www.macauditor.pl</w:t>
    </w:r>
    <w:r w:rsidR="00F1765C">
      <w:rPr>
        <w:rFonts w:ascii="Arial" w:eastAsia="Arial" w:hAnsi="Arial" w:cs="Arial"/>
        <w:sz w:val="16"/>
        <w:szCs w:val="16"/>
        <w:lang w:bidi="en-GB"/>
      </w:rPr>
      <w:t xml:space="preserve"> </w:t>
    </w:r>
    <w:r w:rsidRPr="00394030">
      <w:rPr>
        <w:rFonts w:ascii="Arial" w:eastAsia="Arial" w:hAnsi="Arial" w:cs="Arial"/>
        <w:sz w:val="16"/>
        <w:szCs w:val="16"/>
        <w:lang w:bidi="en-GB"/>
      </w:rPr>
      <w:t>Share Capital: PLN 100,000; Auditing Company no 244</w:t>
    </w:r>
  </w:p>
  <w:p w14:paraId="6D89B926" w14:textId="48C785C8" w:rsidR="00FC41C8" w:rsidRPr="00DE5248" w:rsidRDefault="00FC41C8" w:rsidP="00DE5248">
    <w:pPr>
      <w:pStyle w:val="Stopka"/>
      <w:tabs>
        <w:tab w:val="clear" w:pos="4536"/>
        <w:tab w:val="clear" w:pos="9072"/>
        <w:tab w:val="center" w:pos="5102"/>
        <w:tab w:val="right" w:pos="10204"/>
      </w:tabs>
      <w:spacing w:line="360" w:lineRule="auto"/>
      <w:rPr>
        <w:sz w:val="16"/>
        <w:szCs w:val="16"/>
      </w:rPr>
    </w:pPr>
    <w:r w:rsidRPr="00394030">
      <w:rPr>
        <w:rFonts w:ascii="Arial" w:eastAsia="Arial" w:hAnsi="Arial" w:cs="Arial"/>
        <w:sz w:val="16"/>
        <w:szCs w:val="16"/>
        <w:lang w:bidi="en-GB"/>
      </w:rPr>
      <w:tab/>
    </w:r>
    <w:r w:rsidRPr="00394030">
      <w:rPr>
        <w:rFonts w:ascii="Arial" w:eastAsia="Arial" w:hAnsi="Arial" w:cs="Arial"/>
        <w:sz w:val="16"/>
        <w:szCs w:val="16"/>
        <w:lang w:bidi="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D8B5" w14:textId="77777777" w:rsidR="00E0561F" w:rsidRDefault="00E0561F">
      <w:pPr>
        <w:spacing w:after="0" w:line="240" w:lineRule="auto"/>
      </w:pPr>
      <w:r>
        <w:rPr>
          <w:color w:val="000000"/>
        </w:rPr>
        <w:separator/>
      </w:r>
    </w:p>
  </w:footnote>
  <w:footnote w:type="continuationSeparator" w:id="0">
    <w:p w14:paraId="045BF8B8" w14:textId="77777777" w:rsidR="00E0561F" w:rsidRDefault="00E0561F">
      <w:pPr>
        <w:spacing w:after="0" w:line="240" w:lineRule="auto"/>
      </w:pPr>
      <w:r>
        <w:continuationSeparator/>
      </w:r>
    </w:p>
  </w:footnote>
  <w:footnote w:type="continuationNotice" w:id="1">
    <w:p w14:paraId="4E9A13E2" w14:textId="77777777" w:rsidR="00E0561F" w:rsidRDefault="00E056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3F94" w14:textId="175AAA25" w:rsidR="00FC41C8" w:rsidRPr="000B04A3" w:rsidRDefault="00FC41C8" w:rsidP="000B04A3">
    <w:pPr>
      <w:pStyle w:val="Nagwek"/>
      <w:jc w:val="right"/>
      <w:rPr>
        <w:rFonts w:cs="Calibri"/>
        <w:sz w:val="14"/>
        <w:szCs w:val="18"/>
      </w:rPr>
    </w:pPr>
    <w:r>
      <w:rPr>
        <w:noProof/>
        <w:lang w:bidi="en-GB"/>
      </w:rPr>
      <w:drawing>
        <wp:anchor distT="0" distB="0" distL="114300" distR="114300" simplePos="0" relativeHeight="251658241" behindDoc="1" locked="0" layoutInCell="1" allowOverlap="1" wp14:anchorId="2DEA36EC" wp14:editId="0A70758F">
          <wp:simplePos x="0" y="0"/>
          <wp:positionH relativeFrom="column">
            <wp:posOffset>2540</wp:posOffset>
          </wp:positionH>
          <wp:positionV relativeFrom="page">
            <wp:posOffset>400050</wp:posOffset>
          </wp:positionV>
          <wp:extent cx="2381250" cy="638175"/>
          <wp:effectExtent l="0" t="0" r="0" b="0"/>
          <wp:wrapNone/>
          <wp:docPr id="2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bidi="en-GB"/>
      </w:rPr>
      <w:drawing>
        <wp:anchor distT="0" distB="0" distL="114300" distR="114300" simplePos="0" relativeHeight="251658240" behindDoc="1" locked="0" layoutInCell="1" allowOverlap="1" wp14:anchorId="6CD2CA15" wp14:editId="63037CA4">
          <wp:simplePos x="0" y="0"/>
          <wp:positionH relativeFrom="column">
            <wp:posOffset>3796665</wp:posOffset>
          </wp:positionH>
          <wp:positionV relativeFrom="page">
            <wp:posOffset>5084445</wp:posOffset>
          </wp:positionV>
          <wp:extent cx="4545965" cy="3695065"/>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5965" cy="3695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BA41" w14:textId="5F6FA141" w:rsidR="00FC41C8" w:rsidRPr="000B04A3" w:rsidRDefault="00FC41C8" w:rsidP="000B04A3">
    <w:pPr>
      <w:pStyle w:val="Nagwek"/>
      <w:jc w:val="right"/>
      <w:rPr>
        <w:rFonts w:cs="Calibri"/>
        <w:sz w:val="14"/>
        <w:szCs w:val="18"/>
      </w:rPr>
    </w:pPr>
    <w:r>
      <w:rPr>
        <w:noProof/>
        <w:lang w:bidi="en-GB"/>
      </w:rPr>
      <w:drawing>
        <wp:anchor distT="0" distB="0" distL="114300" distR="114300" simplePos="0" relativeHeight="251658243" behindDoc="1" locked="0" layoutInCell="1" allowOverlap="1" wp14:anchorId="2D5BF2BF" wp14:editId="32FAED55">
          <wp:simplePos x="0" y="0"/>
          <wp:positionH relativeFrom="column">
            <wp:posOffset>2540</wp:posOffset>
          </wp:positionH>
          <wp:positionV relativeFrom="page">
            <wp:posOffset>400050</wp:posOffset>
          </wp:positionV>
          <wp:extent cx="2381250" cy="638175"/>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bidi="en-GB"/>
      </w:rPr>
      <w:drawing>
        <wp:anchor distT="0" distB="0" distL="114300" distR="114300" simplePos="0" relativeHeight="251658242" behindDoc="1" locked="0" layoutInCell="1" allowOverlap="1" wp14:anchorId="3B7C4DF2" wp14:editId="18327D24">
          <wp:simplePos x="0" y="0"/>
          <wp:positionH relativeFrom="column">
            <wp:posOffset>3796665</wp:posOffset>
          </wp:positionH>
          <wp:positionV relativeFrom="page">
            <wp:posOffset>5084445</wp:posOffset>
          </wp:positionV>
          <wp:extent cx="4545965" cy="3695065"/>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5965" cy="3695065"/>
                  </a:xfrm>
                  <a:prstGeom prst="rect">
                    <a:avLst/>
                  </a:prstGeom>
                  <a:noFill/>
                </pic:spPr>
              </pic:pic>
            </a:graphicData>
          </a:graphic>
          <wp14:sizeRelH relativeFrom="page">
            <wp14:pctWidth>0</wp14:pctWidth>
          </wp14:sizeRelH>
          <wp14:sizeRelV relativeFrom="page">
            <wp14:pctHeight>0</wp14:pctHeight>
          </wp14:sizeRelV>
        </wp:anchor>
      </w:drawing>
    </w:r>
  </w:p>
  <w:p w14:paraId="4154A900" w14:textId="77777777" w:rsidR="00FC41C8" w:rsidRDefault="00FC41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4B63"/>
    <w:multiLevelType w:val="hybridMultilevel"/>
    <w:tmpl w:val="9C9CB132"/>
    <w:lvl w:ilvl="0" w:tplc="4A122180">
      <w:start w:val="1"/>
      <w:numFmt w:val="decimal"/>
      <w:lvlText w:val="%1)"/>
      <w:lvlJc w:val="left"/>
      <w:pPr>
        <w:ind w:left="720" w:hanging="360"/>
      </w:pPr>
      <w:rPr>
        <w:sz w:val="22"/>
        <w:szCs w:val="22"/>
      </w:rPr>
    </w:lvl>
    <w:lvl w:ilvl="1" w:tplc="BEEC000A">
      <w:start w:val="1"/>
      <w:numFmt w:val="lowerLetter"/>
      <w:lvlText w:val="%2."/>
      <w:lvlJc w:val="left"/>
      <w:pPr>
        <w:ind w:left="1440" w:hanging="360"/>
      </w:pPr>
    </w:lvl>
    <w:lvl w:ilvl="2" w:tplc="E2C06C7E">
      <w:start w:val="1"/>
      <w:numFmt w:val="lowerRoman"/>
      <w:lvlText w:val="%3."/>
      <w:lvlJc w:val="right"/>
      <w:pPr>
        <w:ind w:left="2160" w:hanging="180"/>
      </w:pPr>
    </w:lvl>
    <w:lvl w:ilvl="3" w:tplc="A88C96DE">
      <w:start w:val="1"/>
      <w:numFmt w:val="decimal"/>
      <w:lvlText w:val="%4."/>
      <w:lvlJc w:val="left"/>
      <w:pPr>
        <w:ind w:left="2880" w:hanging="360"/>
      </w:pPr>
    </w:lvl>
    <w:lvl w:ilvl="4" w:tplc="6528128C">
      <w:start w:val="1"/>
      <w:numFmt w:val="lowerLetter"/>
      <w:lvlText w:val="%5."/>
      <w:lvlJc w:val="left"/>
      <w:pPr>
        <w:ind w:left="3600" w:hanging="360"/>
      </w:pPr>
    </w:lvl>
    <w:lvl w:ilvl="5" w:tplc="F000C9A4">
      <w:start w:val="1"/>
      <w:numFmt w:val="lowerRoman"/>
      <w:lvlText w:val="%6."/>
      <w:lvlJc w:val="right"/>
      <w:pPr>
        <w:ind w:left="4320" w:hanging="180"/>
      </w:pPr>
    </w:lvl>
    <w:lvl w:ilvl="6" w:tplc="35962C66">
      <w:start w:val="1"/>
      <w:numFmt w:val="decimal"/>
      <w:lvlText w:val="%7."/>
      <w:lvlJc w:val="left"/>
      <w:pPr>
        <w:ind w:left="5040" w:hanging="360"/>
      </w:pPr>
    </w:lvl>
    <w:lvl w:ilvl="7" w:tplc="C64E4604">
      <w:start w:val="1"/>
      <w:numFmt w:val="lowerLetter"/>
      <w:lvlText w:val="%8."/>
      <w:lvlJc w:val="left"/>
      <w:pPr>
        <w:ind w:left="5760" w:hanging="360"/>
      </w:pPr>
    </w:lvl>
    <w:lvl w:ilvl="8" w:tplc="871CD804">
      <w:start w:val="1"/>
      <w:numFmt w:val="lowerRoman"/>
      <w:lvlText w:val="%9."/>
      <w:lvlJc w:val="right"/>
      <w:pPr>
        <w:ind w:left="6480" w:hanging="180"/>
      </w:pPr>
    </w:lvl>
  </w:abstractNum>
  <w:abstractNum w:abstractNumId="1" w15:restartNumberingAfterBreak="0">
    <w:nsid w:val="0BE16848"/>
    <w:multiLevelType w:val="hybridMultilevel"/>
    <w:tmpl w:val="40E89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00AB6"/>
    <w:multiLevelType w:val="hybridMultilevel"/>
    <w:tmpl w:val="3BC0B532"/>
    <w:lvl w:ilvl="0" w:tplc="982C672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E3445D"/>
    <w:multiLevelType w:val="hybridMultilevel"/>
    <w:tmpl w:val="D8FCD1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55675A"/>
    <w:multiLevelType w:val="hybridMultilevel"/>
    <w:tmpl w:val="8466BD1C"/>
    <w:lvl w:ilvl="0" w:tplc="982C67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0E4F03"/>
    <w:multiLevelType w:val="hybridMultilevel"/>
    <w:tmpl w:val="D8FCD1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0B4AC3"/>
    <w:multiLevelType w:val="hybridMultilevel"/>
    <w:tmpl w:val="C7E2A738"/>
    <w:lvl w:ilvl="0" w:tplc="982C67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EC4D23"/>
    <w:multiLevelType w:val="hybridMultilevel"/>
    <w:tmpl w:val="82BE3BD8"/>
    <w:lvl w:ilvl="0" w:tplc="B700FD5E">
      <w:start w:val="1"/>
      <w:numFmt w:val="decimal"/>
      <w:lvlText w:val="%1)"/>
      <w:lvlJc w:val="left"/>
      <w:pPr>
        <w:ind w:left="720" w:hanging="360"/>
      </w:pPr>
      <w:rPr>
        <w:rFonts w:asciiTheme="majorHAnsi" w:hAnsiTheme="majorHAnsi" w:cstheme="maj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713DEB"/>
    <w:multiLevelType w:val="hybridMultilevel"/>
    <w:tmpl w:val="F1921E2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93A35B"/>
    <w:multiLevelType w:val="hybridMultilevel"/>
    <w:tmpl w:val="C40A57D2"/>
    <w:lvl w:ilvl="0" w:tplc="99F602A2">
      <w:start w:val="1"/>
      <w:numFmt w:val="decimal"/>
      <w:lvlText w:val="%1)"/>
      <w:lvlJc w:val="left"/>
      <w:pPr>
        <w:ind w:left="720" w:hanging="360"/>
      </w:pPr>
      <w:rPr>
        <w:sz w:val="22"/>
        <w:szCs w:val="22"/>
      </w:rPr>
    </w:lvl>
    <w:lvl w:ilvl="1" w:tplc="04150017">
      <w:start w:val="1"/>
      <w:numFmt w:val="lowerLetter"/>
      <w:lvlText w:val="%2)"/>
      <w:lvlJc w:val="left"/>
      <w:pPr>
        <w:ind w:left="1440" w:hanging="360"/>
      </w:pPr>
    </w:lvl>
    <w:lvl w:ilvl="2" w:tplc="A72CC9E4">
      <w:start w:val="1"/>
      <w:numFmt w:val="lowerRoman"/>
      <w:lvlText w:val="%3."/>
      <w:lvlJc w:val="right"/>
      <w:pPr>
        <w:ind w:left="2160" w:hanging="180"/>
      </w:pPr>
    </w:lvl>
    <w:lvl w:ilvl="3" w:tplc="A798E502">
      <w:start w:val="1"/>
      <w:numFmt w:val="decimal"/>
      <w:lvlText w:val="%4."/>
      <w:lvlJc w:val="left"/>
      <w:pPr>
        <w:ind w:left="2880" w:hanging="360"/>
      </w:pPr>
    </w:lvl>
    <w:lvl w:ilvl="4" w:tplc="0114C97A">
      <w:start w:val="1"/>
      <w:numFmt w:val="lowerLetter"/>
      <w:lvlText w:val="%5."/>
      <w:lvlJc w:val="left"/>
      <w:pPr>
        <w:ind w:left="3600" w:hanging="360"/>
      </w:pPr>
    </w:lvl>
    <w:lvl w:ilvl="5" w:tplc="E1E81C5E">
      <w:start w:val="1"/>
      <w:numFmt w:val="lowerRoman"/>
      <w:lvlText w:val="%6."/>
      <w:lvlJc w:val="right"/>
      <w:pPr>
        <w:ind w:left="4320" w:hanging="180"/>
      </w:pPr>
    </w:lvl>
    <w:lvl w:ilvl="6" w:tplc="B76C5B38">
      <w:start w:val="1"/>
      <w:numFmt w:val="decimal"/>
      <w:lvlText w:val="%7."/>
      <w:lvlJc w:val="left"/>
      <w:pPr>
        <w:ind w:left="5040" w:hanging="360"/>
      </w:pPr>
    </w:lvl>
    <w:lvl w:ilvl="7" w:tplc="F258E32C">
      <w:start w:val="1"/>
      <w:numFmt w:val="lowerLetter"/>
      <w:lvlText w:val="%8."/>
      <w:lvlJc w:val="left"/>
      <w:pPr>
        <w:ind w:left="5760" w:hanging="360"/>
      </w:pPr>
    </w:lvl>
    <w:lvl w:ilvl="8" w:tplc="A826627C">
      <w:start w:val="1"/>
      <w:numFmt w:val="lowerRoman"/>
      <w:lvlText w:val="%9."/>
      <w:lvlJc w:val="right"/>
      <w:pPr>
        <w:ind w:left="6480" w:hanging="180"/>
      </w:pPr>
    </w:lvl>
  </w:abstractNum>
  <w:abstractNum w:abstractNumId="10" w15:restartNumberingAfterBreak="0">
    <w:nsid w:val="54422C5A"/>
    <w:multiLevelType w:val="hybridMultilevel"/>
    <w:tmpl w:val="1A8CEC7E"/>
    <w:lvl w:ilvl="0" w:tplc="982C67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CD4FBA"/>
    <w:multiLevelType w:val="hybridMultilevel"/>
    <w:tmpl w:val="C0FAE5BA"/>
    <w:lvl w:ilvl="0" w:tplc="982C67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E80320"/>
    <w:multiLevelType w:val="hybridMultilevel"/>
    <w:tmpl w:val="D8FCD1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96737E"/>
    <w:multiLevelType w:val="hybridMultilevel"/>
    <w:tmpl w:val="082A8942"/>
    <w:lvl w:ilvl="0" w:tplc="982C67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826EFF"/>
    <w:multiLevelType w:val="hybridMultilevel"/>
    <w:tmpl w:val="5BC87A8E"/>
    <w:lvl w:ilvl="0" w:tplc="213EA0BC">
      <w:start w:val="1"/>
      <w:numFmt w:val="decimal"/>
      <w:lvlText w:val="%1)"/>
      <w:lvlJc w:val="left"/>
      <w:pPr>
        <w:ind w:left="720" w:hanging="360"/>
      </w:pPr>
      <w:rPr>
        <w:sz w:val="22"/>
        <w:szCs w:val="22"/>
      </w:rPr>
    </w:lvl>
    <w:lvl w:ilvl="1" w:tplc="04150017">
      <w:start w:val="1"/>
      <w:numFmt w:val="lowerLetter"/>
      <w:lvlText w:val="%2)"/>
      <w:lvlJc w:val="left"/>
      <w:pPr>
        <w:ind w:left="1440" w:hanging="360"/>
      </w:pPr>
    </w:lvl>
    <w:lvl w:ilvl="2" w:tplc="2FF8A54A">
      <w:start w:val="1"/>
      <w:numFmt w:val="lowerRoman"/>
      <w:lvlText w:val="%3."/>
      <w:lvlJc w:val="right"/>
      <w:pPr>
        <w:ind w:left="2160" w:hanging="180"/>
      </w:pPr>
    </w:lvl>
    <w:lvl w:ilvl="3" w:tplc="930CC8C2">
      <w:start w:val="1"/>
      <w:numFmt w:val="decimal"/>
      <w:lvlText w:val="%4."/>
      <w:lvlJc w:val="left"/>
      <w:pPr>
        <w:ind w:left="2880" w:hanging="360"/>
      </w:pPr>
    </w:lvl>
    <w:lvl w:ilvl="4" w:tplc="69F2CA7E">
      <w:start w:val="1"/>
      <w:numFmt w:val="lowerLetter"/>
      <w:lvlText w:val="%5."/>
      <w:lvlJc w:val="left"/>
      <w:pPr>
        <w:ind w:left="3600" w:hanging="360"/>
      </w:pPr>
    </w:lvl>
    <w:lvl w:ilvl="5" w:tplc="B70E2610">
      <w:start w:val="1"/>
      <w:numFmt w:val="lowerRoman"/>
      <w:lvlText w:val="%6."/>
      <w:lvlJc w:val="right"/>
      <w:pPr>
        <w:ind w:left="4320" w:hanging="180"/>
      </w:pPr>
    </w:lvl>
    <w:lvl w:ilvl="6" w:tplc="9252CCEE">
      <w:start w:val="1"/>
      <w:numFmt w:val="decimal"/>
      <w:lvlText w:val="%7."/>
      <w:lvlJc w:val="left"/>
      <w:pPr>
        <w:ind w:left="5040" w:hanging="360"/>
      </w:pPr>
    </w:lvl>
    <w:lvl w:ilvl="7" w:tplc="5CFCC99A">
      <w:start w:val="1"/>
      <w:numFmt w:val="lowerLetter"/>
      <w:lvlText w:val="%8."/>
      <w:lvlJc w:val="left"/>
      <w:pPr>
        <w:ind w:left="5760" w:hanging="360"/>
      </w:pPr>
    </w:lvl>
    <w:lvl w:ilvl="8" w:tplc="929027A6">
      <w:start w:val="1"/>
      <w:numFmt w:val="lowerRoman"/>
      <w:lvlText w:val="%9."/>
      <w:lvlJc w:val="right"/>
      <w:pPr>
        <w:ind w:left="6480" w:hanging="180"/>
      </w:pPr>
    </w:lvl>
  </w:abstractNum>
  <w:abstractNum w:abstractNumId="15" w15:restartNumberingAfterBreak="0">
    <w:nsid w:val="623B2A0B"/>
    <w:multiLevelType w:val="hybridMultilevel"/>
    <w:tmpl w:val="D8FCD13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69075B"/>
    <w:multiLevelType w:val="hybridMultilevel"/>
    <w:tmpl w:val="C81ED5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774A0D"/>
    <w:multiLevelType w:val="hybridMultilevel"/>
    <w:tmpl w:val="4104B564"/>
    <w:lvl w:ilvl="0" w:tplc="982C67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8F0F76"/>
    <w:multiLevelType w:val="hybridMultilevel"/>
    <w:tmpl w:val="B3C2B322"/>
    <w:lvl w:ilvl="0" w:tplc="982C67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8E40E4"/>
    <w:multiLevelType w:val="multilevel"/>
    <w:tmpl w:val="AE7AFE18"/>
    <w:lvl w:ilvl="0">
      <w:start w:val="1"/>
      <w:numFmt w:val="decimal"/>
      <w:pStyle w:val="Styl1"/>
      <w:lvlText w:val="%1."/>
      <w:lvlJc w:val="left"/>
      <w:pPr>
        <w:ind w:left="360" w:hanging="360"/>
      </w:pPr>
      <w:rPr>
        <w:rFonts w:ascii="Calibri Light" w:hAnsi="Calibri Light" w:cs="Calibri Light" w:hint="default"/>
        <w:color w:val="EFC812"/>
        <w:sz w:val="22"/>
        <w:szCs w:val="22"/>
      </w:rPr>
    </w:lvl>
    <w:lvl w:ilvl="1">
      <w:start w:val="1"/>
      <w:numFmt w:val="decimal"/>
      <w:pStyle w:val="Styl2"/>
      <w:lvlText w:val="%1.%2."/>
      <w:lvlJc w:val="left"/>
      <w:pPr>
        <w:ind w:left="792" w:hanging="432"/>
      </w:pPr>
      <w:rPr>
        <w:color w:val="EFC81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CD19C9"/>
    <w:multiLevelType w:val="hybridMultilevel"/>
    <w:tmpl w:val="F1921E2E"/>
    <w:lvl w:ilvl="0" w:tplc="23561854">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2669423">
    <w:abstractNumId w:val="19"/>
  </w:num>
  <w:num w:numId="2" w16cid:durableId="600726518">
    <w:abstractNumId w:val="15"/>
  </w:num>
  <w:num w:numId="3" w16cid:durableId="1136871075">
    <w:abstractNumId w:val="4"/>
  </w:num>
  <w:num w:numId="4" w16cid:durableId="995912156">
    <w:abstractNumId w:val="17"/>
  </w:num>
  <w:num w:numId="5" w16cid:durableId="1932817109">
    <w:abstractNumId w:val="12"/>
  </w:num>
  <w:num w:numId="6" w16cid:durableId="2124302157">
    <w:abstractNumId w:val="20"/>
  </w:num>
  <w:num w:numId="7" w16cid:durableId="1520926365">
    <w:abstractNumId w:val="3"/>
  </w:num>
  <w:num w:numId="8" w16cid:durableId="1947617792">
    <w:abstractNumId w:val="5"/>
  </w:num>
  <w:num w:numId="9" w16cid:durableId="820511704">
    <w:abstractNumId w:val="16"/>
  </w:num>
  <w:num w:numId="10" w16cid:durableId="73670353">
    <w:abstractNumId w:val="2"/>
  </w:num>
  <w:num w:numId="11" w16cid:durableId="1518233833">
    <w:abstractNumId w:val="11"/>
  </w:num>
  <w:num w:numId="12" w16cid:durableId="2054768116">
    <w:abstractNumId w:val="10"/>
  </w:num>
  <w:num w:numId="13" w16cid:durableId="1791626410">
    <w:abstractNumId w:val="9"/>
  </w:num>
  <w:num w:numId="14" w16cid:durableId="153648246">
    <w:abstractNumId w:val="0"/>
  </w:num>
  <w:num w:numId="15" w16cid:durableId="113526286">
    <w:abstractNumId w:val="14"/>
  </w:num>
  <w:num w:numId="16" w16cid:durableId="391851321">
    <w:abstractNumId w:val="8"/>
  </w:num>
  <w:num w:numId="17" w16cid:durableId="1511137392">
    <w:abstractNumId w:val="1"/>
  </w:num>
  <w:num w:numId="18" w16cid:durableId="446897910">
    <w:abstractNumId w:val="18"/>
  </w:num>
  <w:num w:numId="19" w16cid:durableId="883176186">
    <w:abstractNumId w:val="13"/>
  </w:num>
  <w:num w:numId="20" w16cid:durableId="77598862">
    <w:abstractNumId w:val="7"/>
  </w:num>
  <w:num w:numId="21" w16cid:durableId="184910392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0D"/>
    <w:rsid w:val="00016864"/>
    <w:rsid w:val="00022944"/>
    <w:rsid w:val="0002432D"/>
    <w:rsid w:val="00031B0E"/>
    <w:rsid w:val="00032389"/>
    <w:rsid w:val="00042275"/>
    <w:rsid w:val="00046035"/>
    <w:rsid w:val="000467C2"/>
    <w:rsid w:val="00054373"/>
    <w:rsid w:val="00054FC3"/>
    <w:rsid w:val="0005677C"/>
    <w:rsid w:val="00056FC3"/>
    <w:rsid w:val="000656E7"/>
    <w:rsid w:val="00066A75"/>
    <w:rsid w:val="0006744B"/>
    <w:rsid w:val="00071B72"/>
    <w:rsid w:val="0008511D"/>
    <w:rsid w:val="000935C2"/>
    <w:rsid w:val="00095DC4"/>
    <w:rsid w:val="00097B2A"/>
    <w:rsid w:val="000A0C00"/>
    <w:rsid w:val="000B04A3"/>
    <w:rsid w:val="000C4DC9"/>
    <w:rsid w:val="000C5310"/>
    <w:rsid w:val="000E1A35"/>
    <w:rsid w:val="000E715F"/>
    <w:rsid w:val="000F1D05"/>
    <w:rsid w:val="00105043"/>
    <w:rsid w:val="001062CF"/>
    <w:rsid w:val="001066EC"/>
    <w:rsid w:val="001205F0"/>
    <w:rsid w:val="00123D58"/>
    <w:rsid w:val="00133628"/>
    <w:rsid w:val="00133E6D"/>
    <w:rsid w:val="0013558A"/>
    <w:rsid w:val="00150A0F"/>
    <w:rsid w:val="001540FD"/>
    <w:rsid w:val="00156490"/>
    <w:rsid w:val="00156D99"/>
    <w:rsid w:val="001605A7"/>
    <w:rsid w:val="00160AD3"/>
    <w:rsid w:val="00170DCB"/>
    <w:rsid w:val="001743CC"/>
    <w:rsid w:val="00182592"/>
    <w:rsid w:val="00184BFF"/>
    <w:rsid w:val="00185473"/>
    <w:rsid w:val="001902A7"/>
    <w:rsid w:val="001A6E95"/>
    <w:rsid w:val="001C0797"/>
    <w:rsid w:val="001C5D6E"/>
    <w:rsid w:val="001D253E"/>
    <w:rsid w:val="001D30F9"/>
    <w:rsid w:val="001E4BE3"/>
    <w:rsid w:val="001E51E3"/>
    <w:rsid w:val="001E5F42"/>
    <w:rsid w:val="001F0DD7"/>
    <w:rsid w:val="001F5B62"/>
    <w:rsid w:val="001F6B9B"/>
    <w:rsid w:val="002011CE"/>
    <w:rsid w:val="002040BF"/>
    <w:rsid w:val="0020540C"/>
    <w:rsid w:val="00210E9B"/>
    <w:rsid w:val="002123A9"/>
    <w:rsid w:val="00213460"/>
    <w:rsid w:val="0021733F"/>
    <w:rsid w:val="0022719D"/>
    <w:rsid w:val="002303D1"/>
    <w:rsid w:val="00231EEE"/>
    <w:rsid w:val="00240FEE"/>
    <w:rsid w:val="00244DBA"/>
    <w:rsid w:val="00245FB6"/>
    <w:rsid w:val="002532B8"/>
    <w:rsid w:val="00260146"/>
    <w:rsid w:val="00270781"/>
    <w:rsid w:val="00276548"/>
    <w:rsid w:val="0027797C"/>
    <w:rsid w:val="00282711"/>
    <w:rsid w:val="00284EFE"/>
    <w:rsid w:val="0029129F"/>
    <w:rsid w:val="00293B27"/>
    <w:rsid w:val="002B7049"/>
    <w:rsid w:val="002C0D41"/>
    <w:rsid w:val="002C1A5B"/>
    <w:rsid w:val="002C4D56"/>
    <w:rsid w:val="002D29F7"/>
    <w:rsid w:val="002D330F"/>
    <w:rsid w:val="002D4DE0"/>
    <w:rsid w:val="002E3A16"/>
    <w:rsid w:val="002E4498"/>
    <w:rsid w:val="002F028E"/>
    <w:rsid w:val="002F7E99"/>
    <w:rsid w:val="00303982"/>
    <w:rsid w:val="00303A33"/>
    <w:rsid w:val="00310DCD"/>
    <w:rsid w:val="00316386"/>
    <w:rsid w:val="00322701"/>
    <w:rsid w:val="003233FB"/>
    <w:rsid w:val="00323DC4"/>
    <w:rsid w:val="003266BF"/>
    <w:rsid w:val="0033113D"/>
    <w:rsid w:val="00345B05"/>
    <w:rsid w:val="003462B0"/>
    <w:rsid w:val="00352D0C"/>
    <w:rsid w:val="0035450E"/>
    <w:rsid w:val="003552C8"/>
    <w:rsid w:val="00370DB9"/>
    <w:rsid w:val="00375667"/>
    <w:rsid w:val="00381063"/>
    <w:rsid w:val="00394030"/>
    <w:rsid w:val="00394250"/>
    <w:rsid w:val="00394D1E"/>
    <w:rsid w:val="003965A0"/>
    <w:rsid w:val="00397A1B"/>
    <w:rsid w:val="003A0065"/>
    <w:rsid w:val="003A3348"/>
    <w:rsid w:val="003A6285"/>
    <w:rsid w:val="003A6C18"/>
    <w:rsid w:val="003C00C3"/>
    <w:rsid w:val="003C419F"/>
    <w:rsid w:val="003C43E3"/>
    <w:rsid w:val="003C4683"/>
    <w:rsid w:val="003C7B82"/>
    <w:rsid w:val="003E3162"/>
    <w:rsid w:val="003E6F91"/>
    <w:rsid w:val="003F1686"/>
    <w:rsid w:val="004022D9"/>
    <w:rsid w:val="00413B41"/>
    <w:rsid w:val="00414677"/>
    <w:rsid w:val="00440E92"/>
    <w:rsid w:val="00442F27"/>
    <w:rsid w:val="0045095B"/>
    <w:rsid w:val="00452C2A"/>
    <w:rsid w:val="00457C51"/>
    <w:rsid w:val="004604D3"/>
    <w:rsid w:val="00463575"/>
    <w:rsid w:val="00466E61"/>
    <w:rsid w:val="004671B6"/>
    <w:rsid w:val="004706DD"/>
    <w:rsid w:val="00475131"/>
    <w:rsid w:val="004768E5"/>
    <w:rsid w:val="00477CA8"/>
    <w:rsid w:val="00480922"/>
    <w:rsid w:val="00485287"/>
    <w:rsid w:val="0049283B"/>
    <w:rsid w:val="00492F42"/>
    <w:rsid w:val="004936F1"/>
    <w:rsid w:val="004951F8"/>
    <w:rsid w:val="00497E96"/>
    <w:rsid w:val="004A1C38"/>
    <w:rsid w:val="004A3BA3"/>
    <w:rsid w:val="004A5EC4"/>
    <w:rsid w:val="004B67CA"/>
    <w:rsid w:val="004C390F"/>
    <w:rsid w:val="004D1D9B"/>
    <w:rsid w:val="004D2588"/>
    <w:rsid w:val="004D278C"/>
    <w:rsid w:val="004D2D22"/>
    <w:rsid w:val="004D3244"/>
    <w:rsid w:val="004D39E8"/>
    <w:rsid w:val="004D5768"/>
    <w:rsid w:val="004D71C8"/>
    <w:rsid w:val="004D7C31"/>
    <w:rsid w:val="004D7F41"/>
    <w:rsid w:val="004E056C"/>
    <w:rsid w:val="004E2E8E"/>
    <w:rsid w:val="004E3B07"/>
    <w:rsid w:val="004F0032"/>
    <w:rsid w:val="004F017F"/>
    <w:rsid w:val="004F46C9"/>
    <w:rsid w:val="00521096"/>
    <w:rsid w:val="00525148"/>
    <w:rsid w:val="00531F04"/>
    <w:rsid w:val="00543C0E"/>
    <w:rsid w:val="00543FFA"/>
    <w:rsid w:val="00553000"/>
    <w:rsid w:val="005545DC"/>
    <w:rsid w:val="00560C5C"/>
    <w:rsid w:val="00562176"/>
    <w:rsid w:val="005714D9"/>
    <w:rsid w:val="00572DA8"/>
    <w:rsid w:val="0057355D"/>
    <w:rsid w:val="00574B2F"/>
    <w:rsid w:val="00585E4C"/>
    <w:rsid w:val="00590FE3"/>
    <w:rsid w:val="00591E52"/>
    <w:rsid w:val="005959C9"/>
    <w:rsid w:val="0059699D"/>
    <w:rsid w:val="005A1206"/>
    <w:rsid w:val="005A19DC"/>
    <w:rsid w:val="005A5ADE"/>
    <w:rsid w:val="005A64E5"/>
    <w:rsid w:val="005A6548"/>
    <w:rsid w:val="005B0B9B"/>
    <w:rsid w:val="005B1AB3"/>
    <w:rsid w:val="005B3D20"/>
    <w:rsid w:val="005B42E5"/>
    <w:rsid w:val="005C1AF0"/>
    <w:rsid w:val="005C2AEE"/>
    <w:rsid w:val="005C2E76"/>
    <w:rsid w:val="005C36AA"/>
    <w:rsid w:val="005C579B"/>
    <w:rsid w:val="005C6FFC"/>
    <w:rsid w:val="005D02FD"/>
    <w:rsid w:val="005D5F65"/>
    <w:rsid w:val="005D6B88"/>
    <w:rsid w:val="005E65E6"/>
    <w:rsid w:val="005F0AC8"/>
    <w:rsid w:val="005F3072"/>
    <w:rsid w:val="005F3B0E"/>
    <w:rsid w:val="005F721F"/>
    <w:rsid w:val="00602948"/>
    <w:rsid w:val="00603326"/>
    <w:rsid w:val="0061665C"/>
    <w:rsid w:val="00616DC9"/>
    <w:rsid w:val="00620931"/>
    <w:rsid w:val="00622153"/>
    <w:rsid w:val="00622654"/>
    <w:rsid w:val="006235B8"/>
    <w:rsid w:val="0062373B"/>
    <w:rsid w:val="006310CA"/>
    <w:rsid w:val="0063443B"/>
    <w:rsid w:val="00642247"/>
    <w:rsid w:val="00647F34"/>
    <w:rsid w:val="00650E9A"/>
    <w:rsid w:val="006529F3"/>
    <w:rsid w:val="006542AF"/>
    <w:rsid w:val="00654B1F"/>
    <w:rsid w:val="00661151"/>
    <w:rsid w:val="0066285B"/>
    <w:rsid w:val="00671D75"/>
    <w:rsid w:val="00672E14"/>
    <w:rsid w:val="006744CF"/>
    <w:rsid w:val="0067572B"/>
    <w:rsid w:val="00675A21"/>
    <w:rsid w:val="006823D1"/>
    <w:rsid w:val="00696AD3"/>
    <w:rsid w:val="00697EA9"/>
    <w:rsid w:val="006A345E"/>
    <w:rsid w:val="006A6D8E"/>
    <w:rsid w:val="006A7732"/>
    <w:rsid w:val="006B1FB0"/>
    <w:rsid w:val="006B54CC"/>
    <w:rsid w:val="006B67BC"/>
    <w:rsid w:val="006B6DB3"/>
    <w:rsid w:val="006C21C3"/>
    <w:rsid w:val="006C3491"/>
    <w:rsid w:val="006C35D6"/>
    <w:rsid w:val="006C4456"/>
    <w:rsid w:val="006C58D0"/>
    <w:rsid w:val="006D1C77"/>
    <w:rsid w:val="006E0A7E"/>
    <w:rsid w:val="006F00D4"/>
    <w:rsid w:val="006F4657"/>
    <w:rsid w:val="00700B43"/>
    <w:rsid w:val="0070104A"/>
    <w:rsid w:val="007120DA"/>
    <w:rsid w:val="00712B7E"/>
    <w:rsid w:val="0072249C"/>
    <w:rsid w:val="007268B9"/>
    <w:rsid w:val="00730030"/>
    <w:rsid w:val="00731AD7"/>
    <w:rsid w:val="007350B2"/>
    <w:rsid w:val="0075482E"/>
    <w:rsid w:val="00755870"/>
    <w:rsid w:val="00762D2D"/>
    <w:rsid w:val="007646F0"/>
    <w:rsid w:val="0076753F"/>
    <w:rsid w:val="00772EE5"/>
    <w:rsid w:val="007737BC"/>
    <w:rsid w:val="00774A13"/>
    <w:rsid w:val="0079339F"/>
    <w:rsid w:val="0079474C"/>
    <w:rsid w:val="00795B4D"/>
    <w:rsid w:val="00796E76"/>
    <w:rsid w:val="007B24F2"/>
    <w:rsid w:val="007E5E6D"/>
    <w:rsid w:val="007E72D4"/>
    <w:rsid w:val="007F01BB"/>
    <w:rsid w:val="007F2DDB"/>
    <w:rsid w:val="008069AA"/>
    <w:rsid w:val="008160BB"/>
    <w:rsid w:val="008162B4"/>
    <w:rsid w:val="008164B4"/>
    <w:rsid w:val="00821E34"/>
    <w:rsid w:val="008264CF"/>
    <w:rsid w:val="00830A3D"/>
    <w:rsid w:val="00833DE0"/>
    <w:rsid w:val="0084354E"/>
    <w:rsid w:val="0084425F"/>
    <w:rsid w:val="00845965"/>
    <w:rsid w:val="0086101E"/>
    <w:rsid w:val="008612A0"/>
    <w:rsid w:val="00867182"/>
    <w:rsid w:val="00876BB0"/>
    <w:rsid w:val="00882BD4"/>
    <w:rsid w:val="00893190"/>
    <w:rsid w:val="00893D84"/>
    <w:rsid w:val="008959E0"/>
    <w:rsid w:val="008A5D10"/>
    <w:rsid w:val="008A5F1C"/>
    <w:rsid w:val="008C1153"/>
    <w:rsid w:val="008C2ADB"/>
    <w:rsid w:val="008D5231"/>
    <w:rsid w:val="008E7A8D"/>
    <w:rsid w:val="008F03EE"/>
    <w:rsid w:val="008F4383"/>
    <w:rsid w:val="008F544C"/>
    <w:rsid w:val="008F6DB2"/>
    <w:rsid w:val="009073C6"/>
    <w:rsid w:val="0091142F"/>
    <w:rsid w:val="0091783E"/>
    <w:rsid w:val="0092021A"/>
    <w:rsid w:val="00921417"/>
    <w:rsid w:val="009253CF"/>
    <w:rsid w:val="0092752B"/>
    <w:rsid w:val="009279B5"/>
    <w:rsid w:val="00930D94"/>
    <w:rsid w:val="0093220D"/>
    <w:rsid w:val="00946FC2"/>
    <w:rsid w:val="0095619A"/>
    <w:rsid w:val="00961FF6"/>
    <w:rsid w:val="00963A58"/>
    <w:rsid w:val="00967721"/>
    <w:rsid w:val="009741AF"/>
    <w:rsid w:val="00975E0C"/>
    <w:rsid w:val="00977951"/>
    <w:rsid w:val="00980B5C"/>
    <w:rsid w:val="0098620B"/>
    <w:rsid w:val="009963A8"/>
    <w:rsid w:val="009A270E"/>
    <w:rsid w:val="009A4AE5"/>
    <w:rsid w:val="009B1635"/>
    <w:rsid w:val="009B1F4A"/>
    <w:rsid w:val="009D29D2"/>
    <w:rsid w:val="009F6326"/>
    <w:rsid w:val="00A0063C"/>
    <w:rsid w:val="00A03FBF"/>
    <w:rsid w:val="00A04D86"/>
    <w:rsid w:val="00A0714D"/>
    <w:rsid w:val="00A12247"/>
    <w:rsid w:val="00A13F0D"/>
    <w:rsid w:val="00A15C89"/>
    <w:rsid w:val="00A223E6"/>
    <w:rsid w:val="00A22803"/>
    <w:rsid w:val="00A25400"/>
    <w:rsid w:val="00A2752A"/>
    <w:rsid w:val="00A34C87"/>
    <w:rsid w:val="00A40149"/>
    <w:rsid w:val="00A43754"/>
    <w:rsid w:val="00A443E2"/>
    <w:rsid w:val="00A5165C"/>
    <w:rsid w:val="00A6038B"/>
    <w:rsid w:val="00A6092A"/>
    <w:rsid w:val="00A62D36"/>
    <w:rsid w:val="00A7075D"/>
    <w:rsid w:val="00A73B08"/>
    <w:rsid w:val="00A80C4B"/>
    <w:rsid w:val="00A80EBF"/>
    <w:rsid w:val="00A80F3A"/>
    <w:rsid w:val="00A8206A"/>
    <w:rsid w:val="00A86F7F"/>
    <w:rsid w:val="00A93340"/>
    <w:rsid w:val="00AA1DCC"/>
    <w:rsid w:val="00AA2090"/>
    <w:rsid w:val="00AA6C6E"/>
    <w:rsid w:val="00AB6567"/>
    <w:rsid w:val="00AB70BA"/>
    <w:rsid w:val="00AB7422"/>
    <w:rsid w:val="00AC0670"/>
    <w:rsid w:val="00AC3550"/>
    <w:rsid w:val="00AC5B0C"/>
    <w:rsid w:val="00AC72AA"/>
    <w:rsid w:val="00AD08C7"/>
    <w:rsid w:val="00AD3D63"/>
    <w:rsid w:val="00AD7CE8"/>
    <w:rsid w:val="00AE284C"/>
    <w:rsid w:val="00AF13B8"/>
    <w:rsid w:val="00AF403C"/>
    <w:rsid w:val="00AF7E50"/>
    <w:rsid w:val="00B00266"/>
    <w:rsid w:val="00B00A83"/>
    <w:rsid w:val="00B062D0"/>
    <w:rsid w:val="00B10699"/>
    <w:rsid w:val="00B11E1C"/>
    <w:rsid w:val="00B1756B"/>
    <w:rsid w:val="00B20B98"/>
    <w:rsid w:val="00B25393"/>
    <w:rsid w:val="00B321E8"/>
    <w:rsid w:val="00B33732"/>
    <w:rsid w:val="00B374B2"/>
    <w:rsid w:val="00B551FD"/>
    <w:rsid w:val="00B5712F"/>
    <w:rsid w:val="00B6060E"/>
    <w:rsid w:val="00B63CD4"/>
    <w:rsid w:val="00B663BF"/>
    <w:rsid w:val="00B74778"/>
    <w:rsid w:val="00B819E7"/>
    <w:rsid w:val="00B91ADB"/>
    <w:rsid w:val="00B95342"/>
    <w:rsid w:val="00B95B28"/>
    <w:rsid w:val="00BA0ADC"/>
    <w:rsid w:val="00BB0C75"/>
    <w:rsid w:val="00BB2DAF"/>
    <w:rsid w:val="00BB2DE5"/>
    <w:rsid w:val="00BB68F7"/>
    <w:rsid w:val="00BC2AD9"/>
    <w:rsid w:val="00BC31E1"/>
    <w:rsid w:val="00BC64BF"/>
    <w:rsid w:val="00BC7DA3"/>
    <w:rsid w:val="00BE1859"/>
    <w:rsid w:val="00BF3C71"/>
    <w:rsid w:val="00BF719A"/>
    <w:rsid w:val="00BF7D5B"/>
    <w:rsid w:val="00C001E7"/>
    <w:rsid w:val="00C03453"/>
    <w:rsid w:val="00C04F1F"/>
    <w:rsid w:val="00C10C84"/>
    <w:rsid w:val="00C20DC1"/>
    <w:rsid w:val="00C277A6"/>
    <w:rsid w:val="00C31924"/>
    <w:rsid w:val="00C349AE"/>
    <w:rsid w:val="00C3633F"/>
    <w:rsid w:val="00C4151E"/>
    <w:rsid w:val="00C42D98"/>
    <w:rsid w:val="00C444F0"/>
    <w:rsid w:val="00C5592F"/>
    <w:rsid w:val="00C62B5D"/>
    <w:rsid w:val="00C70D3B"/>
    <w:rsid w:val="00C71632"/>
    <w:rsid w:val="00C74C81"/>
    <w:rsid w:val="00C759D6"/>
    <w:rsid w:val="00C80F1F"/>
    <w:rsid w:val="00C81E68"/>
    <w:rsid w:val="00C84D81"/>
    <w:rsid w:val="00C859F8"/>
    <w:rsid w:val="00C93C0C"/>
    <w:rsid w:val="00C9797D"/>
    <w:rsid w:val="00CA032C"/>
    <w:rsid w:val="00CA0BCF"/>
    <w:rsid w:val="00CA1660"/>
    <w:rsid w:val="00CA3083"/>
    <w:rsid w:val="00CA3207"/>
    <w:rsid w:val="00CA39E4"/>
    <w:rsid w:val="00CA4FE8"/>
    <w:rsid w:val="00CB2069"/>
    <w:rsid w:val="00CC2F73"/>
    <w:rsid w:val="00CC58EA"/>
    <w:rsid w:val="00CC5CF4"/>
    <w:rsid w:val="00CD0687"/>
    <w:rsid w:val="00CD4CFC"/>
    <w:rsid w:val="00CE2080"/>
    <w:rsid w:val="00D04A17"/>
    <w:rsid w:val="00D1498D"/>
    <w:rsid w:val="00D155D6"/>
    <w:rsid w:val="00D1777A"/>
    <w:rsid w:val="00D32D05"/>
    <w:rsid w:val="00D36352"/>
    <w:rsid w:val="00D375CA"/>
    <w:rsid w:val="00D37C94"/>
    <w:rsid w:val="00D54733"/>
    <w:rsid w:val="00D56CA0"/>
    <w:rsid w:val="00D61CC2"/>
    <w:rsid w:val="00D64177"/>
    <w:rsid w:val="00D662B1"/>
    <w:rsid w:val="00D67383"/>
    <w:rsid w:val="00D70B73"/>
    <w:rsid w:val="00D72E23"/>
    <w:rsid w:val="00D8170B"/>
    <w:rsid w:val="00D86290"/>
    <w:rsid w:val="00D93AFF"/>
    <w:rsid w:val="00D955FE"/>
    <w:rsid w:val="00D96DBC"/>
    <w:rsid w:val="00D9717C"/>
    <w:rsid w:val="00DA04B8"/>
    <w:rsid w:val="00DA2035"/>
    <w:rsid w:val="00DA3EE1"/>
    <w:rsid w:val="00DC129E"/>
    <w:rsid w:val="00DC28A6"/>
    <w:rsid w:val="00DC6132"/>
    <w:rsid w:val="00DD74CC"/>
    <w:rsid w:val="00DE5248"/>
    <w:rsid w:val="00DF0AC4"/>
    <w:rsid w:val="00DF2D44"/>
    <w:rsid w:val="00E01BCC"/>
    <w:rsid w:val="00E0234E"/>
    <w:rsid w:val="00E0561F"/>
    <w:rsid w:val="00E129E8"/>
    <w:rsid w:val="00E14FF6"/>
    <w:rsid w:val="00E20F5D"/>
    <w:rsid w:val="00E23C2C"/>
    <w:rsid w:val="00E24ACF"/>
    <w:rsid w:val="00E2F809"/>
    <w:rsid w:val="00E36754"/>
    <w:rsid w:val="00E41113"/>
    <w:rsid w:val="00E41CBA"/>
    <w:rsid w:val="00E47115"/>
    <w:rsid w:val="00E5631E"/>
    <w:rsid w:val="00E81669"/>
    <w:rsid w:val="00E949FB"/>
    <w:rsid w:val="00EA1139"/>
    <w:rsid w:val="00EB46A7"/>
    <w:rsid w:val="00EB703F"/>
    <w:rsid w:val="00EC3C11"/>
    <w:rsid w:val="00EC6DF4"/>
    <w:rsid w:val="00ED33EC"/>
    <w:rsid w:val="00ED40D6"/>
    <w:rsid w:val="00ED6400"/>
    <w:rsid w:val="00EE6198"/>
    <w:rsid w:val="00EF0757"/>
    <w:rsid w:val="00EF50F5"/>
    <w:rsid w:val="00F00183"/>
    <w:rsid w:val="00F066F2"/>
    <w:rsid w:val="00F11588"/>
    <w:rsid w:val="00F12401"/>
    <w:rsid w:val="00F1765C"/>
    <w:rsid w:val="00F22A75"/>
    <w:rsid w:val="00F26D64"/>
    <w:rsid w:val="00F27E95"/>
    <w:rsid w:val="00F3301D"/>
    <w:rsid w:val="00F34716"/>
    <w:rsid w:val="00F51BDC"/>
    <w:rsid w:val="00F53A5B"/>
    <w:rsid w:val="00F636DC"/>
    <w:rsid w:val="00F65D5A"/>
    <w:rsid w:val="00F67BFD"/>
    <w:rsid w:val="00F73C71"/>
    <w:rsid w:val="00F82E1C"/>
    <w:rsid w:val="00F84254"/>
    <w:rsid w:val="00F852DF"/>
    <w:rsid w:val="00F856C8"/>
    <w:rsid w:val="00F86FD0"/>
    <w:rsid w:val="00FA60F3"/>
    <w:rsid w:val="00FB0007"/>
    <w:rsid w:val="00FB26AB"/>
    <w:rsid w:val="00FB2F91"/>
    <w:rsid w:val="00FC2EDA"/>
    <w:rsid w:val="00FC41C8"/>
    <w:rsid w:val="00FC57F6"/>
    <w:rsid w:val="00FC6EFB"/>
    <w:rsid w:val="00FD664E"/>
    <w:rsid w:val="00FE17DF"/>
    <w:rsid w:val="00FE6C5A"/>
    <w:rsid w:val="00FF6735"/>
    <w:rsid w:val="010D1AE5"/>
    <w:rsid w:val="015FA2BC"/>
    <w:rsid w:val="01C24DBC"/>
    <w:rsid w:val="0232ECA2"/>
    <w:rsid w:val="024A3755"/>
    <w:rsid w:val="02C21C9C"/>
    <w:rsid w:val="02F063F4"/>
    <w:rsid w:val="03364779"/>
    <w:rsid w:val="037DC82B"/>
    <w:rsid w:val="038A582E"/>
    <w:rsid w:val="03977D0B"/>
    <w:rsid w:val="03C46FF4"/>
    <w:rsid w:val="03D2D3D4"/>
    <w:rsid w:val="03F06868"/>
    <w:rsid w:val="0418DD5C"/>
    <w:rsid w:val="041933A2"/>
    <w:rsid w:val="04205951"/>
    <w:rsid w:val="04353237"/>
    <w:rsid w:val="0462514B"/>
    <w:rsid w:val="0480E9DB"/>
    <w:rsid w:val="04D1B50B"/>
    <w:rsid w:val="04F6C07D"/>
    <w:rsid w:val="05B6692C"/>
    <w:rsid w:val="0657CA72"/>
    <w:rsid w:val="068C27E3"/>
    <w:rsid w:val="069290DE"/>
    <w:rsid w:val="06D437CF"/>
    <w:rsid w:val="0759A7DE"/>
    <w:rsid w:val="07E6C679"/>
    <w:rsid w:val="080ED556"/>
    <w:rsid w:val="082E613F"/>
    <w:rsid w:val="0847899C"/>
    <w:rsid w:val="08537CD0"/>
    <w:rsid w:val="085507E5"/>
    <w:rsid w:val="08F5783F"/>
    <w:rsid w:val="0906F753"/>
    <w:rsid w:val="096608D7"/>
    <w:rsid w:val="096AB4A1"/>
    <w:rsid w:val="09757A39"/>
    <w:rsid w:val="0975FD9D"/>
    <w:rsid w:val="09C68FA2"/>
    <w:rsid w:val="09CA31A0"/>
    <w:rsid w:val="09E4E514"/>
    <w:rsid w:val="0AA5D8BA"/>
    <w:rsid w:val="0ADBC878"/>
    <w:rsid w:val="0AF795C3"/>
    <w:rsid w:val="0B467618"/>
    <w:rsid w:val="0B6154A7"/>
    <w:rsid w:val="0B654166"/>
    <w:rsid w:val="0B80B575"/>
    <w:rsid w:val="0BDC6EFD"/>
    <w:rsid w:val="0BFCF726"/>
    <w:rsid w:val="0BFFE36D"/>
    <w:rsid w:val="0C2D1901"/>
    <w:rsid w:val="0C41A91B"/>
    <w:rsid w:val="0CADA050"/>
    <w:rsid w:val="0D0C5523"/>
    <w:rsid w:val="0D14562B"/>
    <w:rsid w:val="0D71E0D0"/>
    <w:rsid w:val="0D7A3D68"/>
    <w:rsid w:val="0D7CEFF9"/>
    <w:rsid w:val="0D9F1C9D"/>
    <w:rsid w:val="0E089D0F"/>
    <w:rsid w:val="0E160562"/>
    <w:rsid w:val="0E1A242A"/>
    <w:rsid w:val="0E5A131A"/>
    <w:rsid w:val="0E7AF05C"/>
    <w:rsid w:val="0E7E16DA"/>
    <w:rsid w:val="0EAAF9CE"/>
    <w:rsid w:val="0EF8474D"/>
    <w:rsid w:val="0F18C05A"/>
    <w:rsid w:val="0F64B9C3"/>
    <w:rsid w:val="0FA40466"/>
    <w:rsid w:val="0FBB1A2F"/>
    <w:rsid w:val="0FE54112"/>
    <w:rsid w:val="101F2C3C"/>
    <w:rsid w:val="1046CA2F"/>
    <w:rsid w:val="1056606A"/>
    <w:rsid w:val="10A07082"/>
    <w:rsid w:val="10C90D4E"/>
    <w:rsid w:val="11008A24"/>
    <w:rsid w:val="11C7EB0B"/>
    <w:rsid w:val="11D54385"/>
    <w:rsid w:val="11D8C0B8"/>
    <w:rsid w:val="11E29A90"/>
    <w:rsid w:val="121B5253"/>
    <w:rsid w:val="1223C354"/>
    <w:rsid w:val="123C40E3"/>
    <w:rsid w:val="1241D0D2"/>
    <w:rsid w:val="129CD9BA"/>
    <w:rsid w:val="12BAF856"/>
    <w:rsid w:val="13005C10"/>
    <w:rsid w:val="13828F0F"/>
    <w:rsid w:val="138A3C43"/>
    <w:rsid w:val="13D81144"/>
    <w:rsid w:val="13E12254"/>
    <w:rsid w:val="13EDACA4"/>
    <w:rsid w:val="13F89479"/>
    <w:rsid w:val="1408E821"/>
    <w:rsid w:val="140E79B8"/>
    <w:rsid w:val="1469C7EF"/>
    <w:rsid w:val="14CBD437"/>
    <w:rsid w:val="14D97502"/>
    <w:rsid w:val="14F8066F"/>
    <w:rsid w:val="150CE65F"/>
    <w:rsid w:val="152E3B6A"/>
    <w:rsid w:val="158801DE"/>
    <w:rsid w:val="15B363A3"/>
    <w:rsid w:val="15C27DC9"/>
    <w:rsid w:val="15CF0DB1"/>
    <w:rsid w:val="15D3FB47"/>
    <w:rsid w:val="15F71FF8"/>
    <w:rsid w:val="162F46FF"/>
    <w:rsid w:val="16804EFC"/>
    <w:rsid w:val="16A8B6C0"/>
    <w:rsid w:val="16C1DD05"/>
    <w:rsid w:val="16D10B8B"/>
    <w:rsid w:val="16D681F8"/>
    <w:rsid w:val="16D6F0CB"/>
    <w:rsid w:val="16F46F2E"/>
    <w:rsid w:val="1725CBB8"/>
    <w:rsid w:val="172A09EA"/>
    <w:rsid w:val="17461A7A"/>
    <w:rsid w:val="177CEBB2"/>
    <w:rsid w:val="1836BE33"/>
    <w:rsid w:val="18555CED"/>
    <w:rsid w:val="1890A40D"/>
    <w:rsid w:val="18B1BC90"/>
    <w:rsid w:val="18B49377"/>
    <w:rsid w:val="190B9C09"/>
    <w:rsid w:val="190C1B3E"/>
    <w:rsid w:val="191E116E"/>
    <w:rsid w:val="1999A66F"/>
    <w:rsid w:val="19AD44BD"/>
    <w:rsid w:val="19C89453"/>
    <w:rsid w:val="1A490305"/>
    <w:rsid w:val="1A5063D8"/>
    <w:rsid w:val="1AE3F7F3"/>
    <w:rsid w:val="1B007D2A"/>
    <w:rsid w:val="1B04BCB6"/>
    <w:rsid w:val="1B1FEA88"/>
    <w:rsid w:val="1B4B7C42"/>
    <w:rsid w:val="1BDE1B05"/>
    <w:rsid w:val="1C136A77"/>
    <w:rsid w:val="1C43BC00"/>
    <w:rsid w:val="1C4EC19E"/>
    <w:rsid w:val="1C8BAB09"/>
    <w:rsid w:val="1CE0D6A6"/>
    <w:rsid w:val="1D64D6F1"/>
    <w:rsid w:val="1DFBD0A2"/>
    <w:rsid w:val="1E0075B6"/>
    <w:rsid w:val="1EC14B9C"/>
    <w:rsid w:val="1F15BBC7"/>
    <w:rsid w:val="1F512C5F"/>
    <w:rsid w:val="1F644E61"/>
    <w:rsid w:val="1F998541"/>
    <w:rsid w:val="1FA95663"/>
    <w:rsid w:val="209359B8"/>
    <w:rsid w:val="209B543D"/>
    <w:rsid w:val="20B037C9"/>
    <w:rsid w:val="20B057C9"/>
    <w:rsid w:val="20B113CC"/>
    <w:rsid w:val="20D3D463"/>
    <w:rsid w:val="2219FB7B"/>
    <w:rsid w:val="2230FC31"/>
    <w:rsid w:val="22573BA8"/>
    <w:rsid w:val="2260FA7F"/>
    <w:rsid w:val="229BEF23"/>
    <w:rsid w:val="22B3BB07"/>
    <w:rsid w:val="2320A66F"/>
    <w:rsid w:val="232A2257"/>
    <w:rsid w:val="232D7D6D"/>
    <w:rsid w:val="238D6453"/>
    <w:rsid w:val="238F2536"/>
    <w:rsid w:val="23B5CBDC"/>
    <w:rsid w:val="23C87CE3"/>
    <w:rsid w:val="23CC0153"/>
    <w:rsid w:val="2411EAAE"/>
    <w:rsid w:val="2440E922"/>
    <w:rsid w:val="2462E19B"/>
    <w:rsid w:val="248A38BD"/>
    <w:rsid w:val="24B2503B"/>
    <w:rsid w:val="24BC76D0"/>
    <w:rsid w:val="24C8CFA4"/>
    <w:rsid w:val="24D1E0B4"/>
    <w:rsid w:val="24DA3D4C"/>
    <w:rsid w:val="24E89C98"/>
    <w:rsid w:val="24F2516E"/>
    <w:rsid w:val="257B4D12"/>
    <w:rsid w:val="26031E2C"/>
    <w:rsid w:val="2618561B"/>
    <w:rsid w:val="267E16DE"/>
    <w:rsid w:val="2688EABD"/>
    <w:rsid w:val="26E0F724"/>
    <w:rsid w:val="26FD970B"/>
    <w:rsid w:val="270557D9"/>
    <w:rsid w:val="2720CDAC"/>
    <w:rsid w:val="273E1953"/>
    <w:rsid w:val="276DDCCC"/>
    <w:rsid w:val="279F870E"/>
    <w:rsid w:val="27B3CBB5"/>
    <w:rsid w:val="27D0CB4A"/>
    <w:rsid w:val="27E721D0"/>
    <w:rsid w:val="2811DE0E"/>
    <w:rsid w:val="2889956A"/>
    <w:rsid w:val="28C33FFD"/>
    <w:rsid w:val="29996644"/>
    <w:rsid w:val="299E8925"/>
    <w:rsid w:val="29B16AEC"/>
    <w:rsid w:val="29DEDAD1"/>
    <w:rsid w:val="29FCD99E"/>
    <w:rsid w:val="2AA381E3"/>
    <w:rsid w:val="2AD29EE1"/>
    <w:rsid w:val="2B64BA0A"/>
    <w:rsid w:val="2B7AAB32"/>
    <w:rsid w:val="2B8D49D2"/>
    <w:rsid w:val="2B933D34"/>
    <w:rsid w:val="2B9A371B"/>
    <w:rsid w:val="2BB46847"/>
    <w:rsid w:val="2C5BA293"/>
    <w:rsid w:val="2C7C50AB"/>
    <w:rsid w:val="2C985BC1"/>
    <w:rsid w:val="2CAA025B"/>
    <w:rsid w:val="2CB081D6"/>
    <w:rsid w:val="2CFEC0DD"/>
    <w:rsid w:val="2D37FBD0"/>
    <w:rsid w:val="2D435E87"/>
    <w:rsid w:val="2D87C117"/>
    <w:rsid w:val="2DFDBA1F"/>
    <w:rsid w:val="2E29CA6F"/>
    <w:rsid w:val="2EB6A32F"/>
    <w:rsid w:val="2F051D1D"/>
    <w:rsid w:val="2F16F514"/>
    <w:rsid w:val="2F70CF55"/>
    <w:rsid w:val="2F7262EC"/>
    <w:rsid w:val="2FD8B8E2"/>
    <w:rsid w:val="30136FD1"/>
    <w:rsid w:val="3014935B"/>
    <w:rsid w:val="304496D5"/>
    <w:rsid w:val="3055AFAD"/>
    <w:rsid w:val="306957D7"/>
    <w:rsid w:val="306C1B22"/>
    <w:rsid w:val="308BD9DC"/>
    <w:rsid w:val="310C14C7"/>
    <w:rsid w:val="319296A3"/>
    <w:rsid w:val="31A3A423"/>
    <w:rsid w:val="31A97FD3"/>
    <w:rsid w:val="31AD6524"/>
    <w:rsid w:val="322DEA5F"/>
    <w:rsid w:val="32781000"/>
    <w:rsid w:val="32D6A89C"/>
    <w:rsid w:val="32EF5E39"/>
    <w:rsid w:val="32FD3B92"/>
    <w:rsid w:val="330A09D7"/>
    <w:rsid w:val="3317183A"/>
    <w:rsid w:val="333042A9"/>
    <w:rsid w:val="33798B81"/>
    <w:rsid w:val="33E12FBE"/>
    <w:rsid w:val="347F9F4F"/>
    <w:rsid w:val="352161B4"/>
    <w:rsid w:val="3603EA86"/>
    <w:rsid w:val="3683D4DF"/>
    <w:rsid w:val="3773AAC8"/>
    <w:rsid w:val="37A35B9F"/>
    <w:rsid w:val="37DE2AFE"/>
    <w:rsid w:val="380FCBC6"/>
    <w:rsid w:val="38235833"/>
    <w:rsid w:val="3832A1EF"/>
    <w:rsid w:val="383395E8"/>
    <w:rsid w:val="385D8575"/>
    <w:rsid w:val="38724FF2"/>
    <w:rsid w:val="388EC983"/>
    <w:rsid w:val="388FBFE1"/>
    <w:rsid w:val="38B3B4FD"/>
    <w:rsid w:val="38CF87D7"/>
    <w:rsid w:val="394C0430"/>
    <w:rsid w:val="3997223D"/>
    <w:rsid w:val="39A3AC34"/>
    <w:rsid w:val="39BB00D7"/>
    <w:rsid w:val="39F8C4A1"/>
    <w:rsid w:val="39FBEF07"/>
    <w:rsid w:val="3A461968"/>
    <w:rsid w:val="3A6D8EEE"/>
    <w:rsid w:val="3ACF9931"/>
    <w:rsid w:val="3ADAFC61"/>
    <w:rsid w:val="3AE77FC6"/>
    <w:rsid w:val="3AEF665A"/>
    <w:rsid w:val="3BBB97F4"/>
    <w:rsid w:val="3BCB048D"/>
    <w:rsid w:val="3C31EBFE"/>
    <w:rsid w:val="3C8EE50C"/>
    <w:rsid w:val="3CD12F67"/>
    <w:rsid w:val="3CFB03E9"/>
    <w:rsid w:val="3D073372"/>
    <w:rsid w:val="3D107710"/>
    <w:rsid w:val="3D1E3441"/>
    <w:rsid w:val="3D857D47"/>
    <w:rsid w:val="3D91C028"/>
    <w:rsid w:val="3DA974B6"/>
    <w:rsid w:val="3DBB948B"/>
    <w:rsid w:val="3DBCE116"/>
    <w:rsid w:val="3E02E95A"/>
    <w:rsid w:val="3E15FDAD"/>
    <w:rsid w:val="3E40F708"/>
    <w:rsid w:val="3E6CDB8E"/>
    <w:rsid w:val="3EAE031D"/>
    <w:rsid w:val="3F8C4CA3"/>
    <w:rsid w:val="3FC592BF"/>
    <w:rsid w:val="403EE62C"/>
    <w:rsid w:val="4052A0ED"/>
    <w:rsid w:val="409ABDC3"/>
    <w:rsid w:val="40B03797"/>
    <w:rsid w:val="40CC576D"/>
    <w:rsid w:val="40E5C142"/>
    <w:rsid w:val="40EF1C86"/>
    <w:rsid w:val="40EF6726"/>
    <w:rsid w:val="414018A1"/>
    <w:rsid w:val="415E68B6"/>
    <w:rsid w:val="4181B7A8"/>
    <w:rsid w:val="41AC3B9F"/>
    <w:rsid w:val="41C60B0A"/>
    <w:rsid w:val="41EE89D8"/>
    <w:rsid w:val="41FD2B47"/>
    <w:rsid w:val="42158B2B"/>
    <w:rsid w:val="42209008"/>
    <w:rsid w:val="42FA36FF"/>
    <w:rsid w:val="433D37F8"/>
    <w:rsid w:val="4361345D"/>
    <w:rsid w:val="437ECF92"/>
    <w:rsid w:val="43A55223"/>
    <w:rsid w:val="43D2F815"/>
    <w:rsid w:val="43E09145"/>
    <w:rsid w:val="43F4C89A"/>
    <w:rsid w:val="4418B63A"/>
    <w:rsid w:val="44A385A9"/>
    <w:rsid w:val="44A6E367"/>
    <w:rsid w:val="44ADA2A1"/>
    <w:rsid w:val="44EFCA46"/>
    <w:rsid w:val="452DEEA2"/>
    <w:rsid w:val="4530B570"/>
    <w:rsid w:val="4583A9B0"/>
    <w:rsid w:val="459A7C47"/>
    <w:rsid w:val="45F2C1F1"/>
    <w:rsid w:val="45FE687C"/>
    <w:rsid w:val="463C3C60"/>
    <w:rsid w:val="464B001E"/>
    <w:rsid w:val="465613D7"/>
    <w:rsid w:val="472F3059"/>
    <w:rsid w:val="4755FD8A"/>
    <w:rsid w:val="476DAF56"/>
    <w:rsid w:val="4775ADB2"/>
    <w:rsid w:val="479324F4"/>
    <w:rsid w:val="47AA0FDA"/>
    <w:rsid w:val="47CDA822"/>
    <w:rsid w:val="47CF3339"/>
    <w:rsid w:val="481EF335"/>
    <w:rsid w:val="48A9A332"/>
    <w:rsid w:val="48D4871C"/>
    <w:rsid w:val="48FFCCCC"/>
    <w:rsid w:val="49499810"/>
    <w:rsid w:val="494F5C60"/>
    <w:rsid w:val="495C11D4"/>
    <w:rsid w:val="49697883"/>
    <w:rsid w:val="4976F6CC"/>
    <w:rsid w:val="4979405E"/>
    <w:rsid w:val="4A0AA6E0"/>
    <w:rsid w:val="4A49E6A3"/>
    <w:rsid w:val="4A571AD3"/>
    <w:rsid w:val="4A801F9F"/>
    <w:rsid w:val="4AD0DACB"/>
    <w:rsid w:val="4B46C511"/>
    <w:rsid w:val="4B5FD8CF"/>
    <w:rsid w:val="4B913BB0"/>
    <w:rsid w:val="4BA2769A"/>
    <w:rsid w:val="4BB33787"/>
    <w:rsid w:val="4BC0DDDC"/>
    <w:rsid w:val="4BC13578"/>
    <w:rsid w:val="4BE25567"/>
    <w:rsid w:val="4C6864FF"/>
    <w:rsid w:val="4D1C8DD8"/>
    <w:rsid w:val="4D4491E6"/>
    <w:rsid w:val="4D45E634"/>
    <w:rsid w:val="4D9671C3"/>
    <w:rsid w:val="4DE275E5"/>
    <w:rsid w:val="4E827E88"/>
    <w:rsid w:val="4F07C927"/>
    <w:rsid w:val="4F32797C"/>
    <w:rsid w:val="4F3EE37C"/>
    <w:rsid w:val="4F46E523"/>
    <w:rsid w:val="4F5D525E"/>
    <w:rsid w:val="4FA03335"/>
    <w:rsid w:val="4FB1CAD4"/>
    <w:rsid w:val="4FB6CEC3"/>
    <w:rsid w:val="500D151D"/>
    <w:rsid w:val="5086A8AA"/>
    <w:rsid w:val="509852C0"/>
    <w:rsid w:val="50CE49DD"/>
    <w:rsid w:val="513B3455"/>
    <w:rsid w:val="5172FD4C"/>
    <w:rsid w:val="51CA79A6"/>
    <w:rsid w:val="51EFA7FF"/>
    <w:rsid w:val="51F4ABB3"/>
    <w:rsid w:val="520DB829"/>
    <w:rsid w:val="5248EAC8"/>
    <w:rsid w:val="527E5F9D"/>
    <w:rsid w:val="52A10F3C"/>
    <w:rsid w:val="52E9CF9D"/>
    <w:rsid w:val="530ECDAD"/>
    <w:rsid w:val="531B3771"/>
    <w:rsid w:val="5368EFE0"/>
    <w:rsid w:val="53B4846B"/>
    <w:rsid w:val="540CA744"/>
    <w:rsid w:val="54351C45"/>
    <w:rsid w:val="543C1108"/>
    <w:rsid w:val="545E6C25"/>
    <w:rsid w:val="549305E0"/>
    <w:rsid w:val="553293AE"/>
    <w:rsid w:val="553AB119"/>
    <w:rsid w:val="5550A151"/>
    <w:rsid w:val="557D5367"/>
    <w:rsid w:val="55808B8A"/>
    <w:rsid w:val="562ED641"/>
    <w:rsid w:val="564F347E"/>
    <w:rsid w:val="5692D7B9"/>
    <w:rsid w:val="56C467DA"/>
    <w:rsid w:val="56C98CA4"/>
    <w:rsid w:val="56CC3900"/>
    <w:rsid w:val="56DEFE2F"/>
    <w:rsid w:val="56FBA293"/>
    <w:rsid w:val="57C35401"/>
    <w:rsid w:val="57E26C47"/>
    <w:rsid w:val="57F01C6B"/>
    <w:rsid w:val="57F0670B"/>
    <w:rsid w:val="5822E890"/>
    <w:rsid w:val="582DE0A0"/>
    <w:rsid w:val="58655D05"/>
    <w:rsid w:val="58832F31"/>
    <w:rsid w:val="58D1A885"/>
    <w:rsid w:val="58D35B1B"/>
    <w:rsid w:val="58D95BC2"/>
    <w:rsid w:val="58FFEE42"/>
    <w:rsid w:val="593ADE34"/>
    <w:rsid w:val="5994D8B8"/>
    <w:rsid w:val="59A67746"/>
    <w:rsid w:val="59ABD50B"/>
    <w:rsid w:val="59B077BB"/>
    <w:rsid w:val="5A03D9C2"/>
    <w:rsid w:val="5A25C201"/>
    <w:rsid w:val="5A478C2D"/>
    <w:rsid w:val="5A5ED509"/>
    <w:rsid w:val="5A9BB310"/>
    <w:rsid w:val="5AB69072"/>
    <w:rsid w:val="5AB84FA8"/>
    <w:rsid w:val="5AC36168"/>
    <w:rsid w:val="5AE8D706"/>
    <w:rsid w:val="5B506BC3"/>
    <w:rsid w:val="5B5A8952"/>
    <w:rsid w:val="5B6EEB57"/>
    <w:rsid w:val="5BD4F474"/>
    <w:rsid w:val="5C3580DB"/>
    <w:rsid w:val="5C4CED55"/>
    <w:rsid w:val="5CDF85E1"/>
    <w:rsid w:val="5D247D36"/>
    <w:rsid w:val="5D620BEA"/>
    <w:rsid w:val="5D70C4D5"/>
    <w:rsid w:val="5DC58F84"/>
    <w:rsid w:val="5DFB022A"/>
    <w:rsid w:val="5DFCE12F"/>
    <w:rsid w:val="5E22C937"/>
    <w:rsid w:val="5E62FE31"/>
    <w:rsid w:val="5E880C85"/>
    <w:rsid w:val="5EC30F28"/>
    <w:rsid w:val="5F066F18"/>
    <w:rsid w:val="5F3C58AC"/>
    <w:rsid w:val="5F7B7D07"/>
    <w:rsid w:val="5F9655A1"/>
    <w:rsid w:val="60174A3A"/>
    <w:rsid w:val="60960922"/>
    <w:rsid w:val="61174D68"/>
    <w:rsid w:val="61387293"/>
    <w:rsid w:val="6143EF89"/>
    <w:rsid w:val="61702A94"/>
    <w:rsid w:val="617930D4"/>
    <w:rsid w:val="61ABE29B"/>
    <w:rsid w:val="61C78422"/>
    <w:rsid w:val="62034721"/>
    <w:rsid w:val="621E8E84"/>
    <w:rsid w:val="622622DB"/>
    <w:rsid w:val="625EDA2B"/>
    <w:rsid w:val="627E0E65"/>
    <w:rsid w:val="6298C156"/>
    <w:rsid w:val="62C1EA23"/>
    <w:rsid w:val="62F09A35"/>
    <w:rsid w:val="635FD85C"/>
    <w:rsid w:val="63872DA9"/>
    <w:rsid w:val="638BFCAA"/>
    <w:rsid w:val="63AC1653"/>
    <w:rsid w:val="63BC154D"/>
    <w:rsid w:val="6457FF3A"/>
    <w:rsid w:val="64595E2A"/>
    <w:rsid w:val="64630E63"/>
    <w:rsid w:val="648C9F09"/>
    <w:rsid w:val="6542B11D"/>
    <w:rsid w:val="654F80A6"/>
    <w:rsid w:val="65A6CFD2"/>
    <w:rsid w:val="65D1B3BC"/>
    <w:rsid w:val="65DE65B7"/>
    <w:rsid w:val="662BD1AE"/>
    <w:rsid w:val="6738B9EB"/>
    <w:rsid w:val="676C7FCF"/>
    <w:rsid w:val="679D4345"/>
    <w:rsid w:val="67DAEE09"/>
    <w:rsid w:val="67F200F7"/>
    <w:rsid w:val="68017E61"/>
    <w:rsid w:val="685F26AC"/>
    <w:rsid w:val="687C4581"/>
    <w:rsid w:val="68DC77D2"/>
    <w:rsid w:val="69240F8A"/>
    <w:rsid w:val="69367F86"/>
    <w:rsid w:val="69E87572"/>
    <w:rsid w:val="6A162240"/>
    <w:rsid w:val="6A2E3B10"/>
    <w:rsid w:val="6AC61D34"/>
    <w:rsid w:val="6AD24FE7"/>
    <w:rsid w:val="6ADD01B3"/>
    <w:rsid w:val="6B513CE0"/>
    <w:rsid w:val="6B65EA83"/>
    <w:rsid w:val="6BDDA7A0"/>
    <w:rsid w:val="6BF305C4"/>
    <w:rsid w:val="6C0B6745"/>
    <w:rsid w:val="6C4DA73B"/>
    <w:rsid w:val="6CC3809A"/>
    <w:rsid w:val="6CE06218"/>
    <w:rsid w:val="6D01BAE4"/>
    <w:rsid w:val="6D5A928B"/>
    <w:rsid w:val="6DA6A0EB"/>
    <w:rsid w:val="6DAB7694"/>
    <w:rsid w:val="6DAFEB0D"/>
    <w:rsid w:val="6DFA0F6D"/>
    <w:rsid w:val="6E004070"/>
    <w:rsid w:val="6E0B9CA4"/>
    <w:rsid w:val="6E67AA60"/>
    <w:rsid w:val="6ECE6830"/>
    <w:rsid w:val="6EE24E6D"/>
    <w:rsid w:val="6F96C905"/>
    <w:rsid w:val="6FADAE90"/>
    <w:rsid w:val="6FC731AA"/>
    <w:rsid w:val="70203349"/>
    <w:rsid w:val="70309009"/>
    <w:rsid w:val="705FEE26"/>
    <w:rsid w:val="7070A305"/>
    <w:rsid w:val="708E74D4"/>
    <w:rsid w:val="709AAA68"/>
    <w:rsid w:val="70F4E0C2"/>
    <w:rsid w:val="7101BAE3"/>
    <w:rsid w:val="71329966"/>
    <w:rsid w:val="7141B792"/>
    <w:rsid w:val="71AED9A6"/>
    <w:rsid w:val="71B42215"/>
    <w:rsid w:val="71C882C6"/>
    <w:rsid w:val="72574A28"/>
    <w:rsid w:val="73382A2C"/>
    <w:rsid w:val="734BBE7B"/>
    <w:rsid w:val="7357923F"/>
    <w:rsid w:val="7389052D"/>
    <w:rsid w:val="73A18644"/>
    <w:rsid w:val="73E09E8C"/>
    <w:rsid w:val="741F2A79"/>
    <w:rsid w:val="74911466"/>
    <w:rsid w:val="74AF76D0"/>
    <w:rsid w:val="771E16F5"/>
    <w:rsid w:val="77746D08"/>
    <w:rsid w:val="7780F407"/>
    <w:rsid w:val="77B0D2EF"/>
    <w:rsid w:val="77F1060A"/>
    <w:rsid w:val="7890EFBA"/>
    <w:rsid w:val="78D766EE"/>
    <w:rsid w:val="78D8B56E"/>
    <w:rsid w:val="78E0C029"/>
    <w:rsid w:val="78F29B9C"/>
    <w:rsid w:val="7926E399"/>
    <w:rsid w:val="79366920"/>
    <w:rsid w:val="79E03DEC"/>
    <w:rsid w:val="7A29157F"/>
    <w:rsid w:val="7A479145"/>
    <w:rsid w:val="7ABD43A7"/>
    <w:rsid w:val="7AF7B1D6"/>
    <w:rsid w:val="7B08FAF5"/>
    <w:rsid w:val="7B4E04B6"/>
    <w:rsid w:val="7B5D6B36"/>
    <w:rsid w:val="7B9381F8"/>
    <w:rsid w:val="7BE16CE8"/>
    <w:rsid w:val="7C81226F"/>
    <w:rsid w:val="7CBAE2DE"/>
    <w:rsid w:val="7CE6EEBF"/>
    <w:rsid w:val="7CF0AE3B"/>
    <w:rsid w:val="7D2987CE"/>
    <w:rsid w:val="7D4176BC"/>
    <w:rsid w:val="7D6438CE"/>
    <w:rsid w:val="7D674508"/>
    <w:rsid w:val="7D79751D"/>
    <w:rsid w:val="7DA98156"/>
    <w:rsid w:val="7DD7FB2B"/>
    <w:rsid w:val="7E0788EC"/>
    <w:rsid w:val="7EAA4FB0"/>
    <w:rsid w:val="7EEDA4D1"/>
    <w:rsid w:val="7F295230"/>
    <w:rsid w:val="7F4727A7"/>
    <w:rsid w:val="7F61AFD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B2BBB"/>
  <w15:docId w15:val="{4A4E4D9B-E0C9-4781-A55C-9900147A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1CC2"/>
    <w:pPr>
      <w:suppressAutoHyphens/>
      <w:autoSpaceDN w:val="0"/>
      <w:spacing w:after="160" w:line="254" w:lineRule="auto"/>
      <w:textAlignment w:val="baseline"/>
    </w:pPr>
    <w:rPr>
      <w:sz w:val="22"/>
      <w:szCs w:val="22"/>
      <w:lang w:eastAsia="en-US"/>
    </w:rPr>
  </w:style>
  <w:style w:type="paragraph" w:styleId="Nagwek2">
    <w:name w:val="heading 2"/>
    <w:basedOn w:val="Normalny"/>
    <w:link w:val="Nagwek2Znak"/>
    <w:uiPriority w:val="9"/>
    <w:qFormat/>
    <w:rsid w:val="00A43754"/>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qFormat/>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Hipercze">
    <w:name w:val="Hyperlink"/>
    <w:uiPriority w:val="99"/>
    <w:rPr>
      <w:color w:val="0000FF"/>
      <w:u w:val="single"/>
    </w:rPr>
  </w:style>
  <w:style w:type="character" w:styleId="Nierozpoznanawzmianka">
    <w:name w:val="Unresolved Mention"/>
    <w:rPr>
      <w:color w:val="605E5C"/>
      <w:shd w:val="clear" w:color="auto" w:fill="E1DFDD"/>
    </w:rPr>
  </w:style>
  <w:style w:type="paragraph" w:customStyle="1" w:styleId="Podstawowyakapit">
    <w:name w:val="[Podstawowy akapit]"/>
    <w:basedOn w:val="Normalny"/>
    <w:uiPriority w:val="99"/>
    <w:rsid w:val="004022D9"/>
    <w:pPr>
      <w:suppressAutoHyphens w:val="0"/>
      <w:autoSpaceDE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6209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931"/>
    <w:rPr>
      <w:rFonts w:ascii="Segoe UI" w:hAnsi="Segoe UI" w:cs="Segoe UI"/>
      <w:sz w:val="18"/>
      <w:szCs w:val="18"/>
      <w:lang w:eastAsia="en-US"/>
    </w:rPr>
  </w:style>
  <w:style w:type="character" w:styleId="Odwoaniedokomentarza">
    <w:name w:val="annotation reference"/>
    <w:semiHidden/>
    <w:rsid w:val="00700B43"/>
    <w:rPr>
      <w:sz w:val="16"/>
      <w:szCs w:val="16"/>
    </w:rPr>
  </w:style>
  <w:style w:type="paragraph" w:styleId="Tekstkomentarza">
    <w:name w:val="annotation text"/>
    <w:basedOn w:val="Normalny"/>
    <w:link w:val="TekstkomentarzaZnak"/>
    <w:semiHidden/>
    <w:rsid w:val="00700B43"/>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700B43"/>
    <w:rPr>
      <w:rFonts w:ascii="Times New Roman" w:eastAsia="Times New Roman" w:hAnsi="Times New Roman"/>
    </w:rPr>
  </w:style>
  <w:style w:type="paragraph" w:customStyle="1" w:styleId="tekst">
    <w:name w:val="tekst"/>
    <w:basedOn w:val="Normalny"/>
    <w:rsid w:val="00700B43"/>
    <w:pPr>
      <w:suppressAutoHyphens w:val="0"/>
      <w:autoSpaceDN/>
      <w:spacing w:after="0" w:line="240" w:lineRule="auto"/>
      <w:jc w:val="both"/>
      <w:textAlignment w:val="auto"/>
    </w:pPr>
    <w:rPr>
      <w:rFonts w:ascii="Times New Roman" w:eastAsia="Times New Roman" w:hAnsi="Times New Roman"/>
      <w:sz w:val="24"/>
      <w:szCs w:val="20"/>
      <w:lang w:eastAsia="pl-PL"/>
    </w:rPr>
  </w:style>
  <w:style w:type="paragraph" w:styleId="Akapitzlist">
    <w:name w:val="List Paragraph"/>
    <w:basedOn w:val="Normalny"/>
    <w:uiPriority w:val="34"/>
    <w:qFormat/>
    <w:rsid w:val="00700B43"/>
    <w:pPr>
      <w:suppressAutoHyphens w:val="0"/>
      <w:autoSpaceDN/>
      <w:spacing w:after="0" w:line="240" w:lineRule="auto"/>
      <w:ind w:left="720"/>
      <w:contextualSpacing/>
      <w:textAlignment w:val="auto"/>
    </w:pPr>
    <w:rPr>
      <w:rFonts w:ascii="Times New Roman" w:eastAsia="Times New Roman" w:hAnsi="Times New Roman"/>
      <w:sz w:val="24"/>
      <w:szCs w:val="24"/>
      <w:lang w:eastAsia="pl-PL"/>
    </w:rPr>
  </w:style>
  <w:style w:type="table" w:styleId="Tabela-Siatka">
    <w:name w:val="Table Grid"/>
    <w:basedOn w:val="Standardowy"/>
    <w:uiPriority w:val="39"/>
    <w:rsid w:val="00E41C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41CBA"/>
    <w:pPr>
      <w:suppressAutoHyphens w:val="0"/>
      <w:autoSpaceDN/>
      <w:spacing w:after="0" w:line="240" w:lineRule="auto"/>
      <w:textAlignment w:val="auto"/>
    </w:pPr>
    <w:rPr>
      <w:szCs w:val="21"/>
    </w:rPr>
  </w:style>
  <w:style w:type="character" w:customStyle="1" w:styleId="ZwykytekstZnak">
    <w:name w:val="Zwykły tekst Znak"/>
    <w:basedOn w:val="Domylnaczcionkaakapitu"/>
    <w:link w:val="Zwykytekst"/>
    <w:uiPriority w:val="99"/>
    <w:rsid w:val="00E41CBA"/>
    <w:rPr>
      <w:sz w:val="22"/>
      <w:szCs w:val="21"/>
      <w:lang w:eastAsia="en-US"/>
    </w:rPr>
  </w:style>
  <w:style w:type="paragraph" w:customStyle="1" w:styleId="Styl1">
    <w:name w:val="Styl1"/>
    <w:basedOn w:val="Zwykytekst"/>
    <w:link w:val="Styl1Znak"/>
    <w:qFormat/>
    <w:rsid w:val="00E41CBA"/>
    <w:pPr>
      <w:numPr>
        <w:numId w:val="1"/>
      </w:numPr>
    </w:pPr>
    <w:rPr>
      <w:b/>
    </w:rPr>
  </w:style>
  <w:style w:type="paragraph" w:customStyle="1" w:styleId="Styl2">
    <w:name w:val="Styl2"/>
    <w:basedOn w:val="Zwykytekst"/>
    <w:qFormat/>
    <w:rsid w:val="00E41CBA"/>
    <w:pPr>
      <w:numPr>
        <w:ilvl w:val="1"/>
        <w:numId w:val="1"/>
      </w:numPr>
      <w:ind w:left="1440" w:hanging="360"/>
      <w:jc w:val="both"/>
    </w:pPr>
    <w:rPr>
      <w:b/>
    </w:rPr>
  </w:style>
  <w:style w:type="character" w:customStyle="1" w:styleId="Styl1Znak">
    <w:name w:val="Styl1 Znak"/>
    <w:link w:val="Styl1"/>
    <w:rsid w:val="00E41CBA"/>
    <w:rPr>
      <w:b/>
      <w:sz w:val="22"/>
      <w:szCs w:val="21"/>
      <w:lang w:eastAsia="en-US"/>
    </w:rPr>
  </w:style>
  <w:style w:type="paragraph" w:styleId="Spistreci1">
    <w:name w:val="toc 1"/>
    <w:basedOn w:val="Normalny"/>
    <w:next w:val="Normalny"/>
    <w:autoRedefine/>
    <w:uiPriority w:val="39"/>
    <w:unhideWhenUsed/>
    <w:rsid w:val="00A0714D"/>
    <w:pPr>
      <w:tabs>
        <w:tab w:val="right" w:leader="dot" w:pos="9978"/>
      </w:tabs>
      <w:suppressAutoHyphens w:val="0"/>
      <w:autoSpaceDN/>
      <w:spacing w:before="60" w:after="0" w:line="240" w:lineRule="auto"/>
      <w:ind w:left="425" w:hanging="425"/>
      <w:textAlignment w:val="auto"/>
    </w:pPr>
    <w:rPr>
      <w:b/>
      <w:bCs/>
      <w:noProof/>
      <w:color w:val="C00000"/>
      <w:sz w:val="18"/>
      <w:szCs w:val="18"/>
    </w:rPr>
  </w:style>
  <w:style w:type="character" w:styleId="UyteHipercze">
    <w:name w:val="FollowedHyperlink"/>
    <w:basedOn w:val="Domylnaczcionkaakapitu"/>
    <w:uiPriority w:val="99"/>
    <w:semiHidden/>
    <w:unhideWhenUsed/>
    <w:rsid w:val="006B1FB0"/>
    <w:rPr>
      <w:color w:val="954F72" w:themeColor="followedHyperlink"/>
      <w:u w:val="single"/>
    </w:rPr>
  </w:style>
  <w:style w:type="paragraph" w:styleId="Spistreci2">
    <w:name w:val="toc 2"/>
    <w:basedOn w:val="Normalny"/>
    <w:next w:val="Normalny"/>
    <w:autoRedefine/>
    <w:uiPriority w:val="39"/>
    <w:unhideWhenUsed/>
    <w:rsid w:val="00C70D3B"/>
    <w:pPr>
      <w:spacing w:after="100"/>
      <w:ind w:left="220"/>
    </w:pPr>
  </w:style>
  <w:style w:type="paragraph" w:styleId="NormalnyWeb">
    <w:name w:val="Normal (Web)"/>
    <w:basedOn w:val="Normalny"/>
    <w:uiPriority w:val="99"/>
    <w:unhideWhenUsed/>
    <w:rsid w:val="00413B4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2F028E"/>
    <w:rPr>
      <w:i/>
      <w:iCs/>
    </w:rPr>
  </w:style>
  <w:style w:type="table" w:styleId="Zwykatabela2">
    <w:name w:val="Plain Table 2"/>
    <w:basedOn w:val="Standardowy"/>
    <w:uiPriority w:val="42"/>
    <w:rsid w:val="00F856C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matkomentarza">
    <w:name w:val="annotation subject"/>
    <w:basedOn w:val="Tekstkomentarza"/>
    <w:next w:val="Tekstkomentarza"/>
    <w:link w:val="TematkomentarzaZnak"/>
    <w:uiPriority w:val="99"/>
    <w:semiHidden/>
    <w:unhideWhenUsed/>
    <w:rsid w:val="00245FB6"/>
    <w:pPr>
      <w:suppressAutoHyphens/>
      <w:autoSpaceDN w:val="0"/>
      <w:spacing w:after="160"/>
      <w:textAlignment w:val="baseline"/>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245FB6"/>
    <w:rPr>
      <w:rFonts w:ascii="Times New Roman" w:eastAsia="Times New Roman" w:hAnsi="Times New Roman"/>
      <w:b/>
      <w:bCs/>
      <w:lang w:eastAsia="en-US"/>
    </w:rPr>
  </w:style>
  <w:style w:type="paragraph" w:styleId="Poprawka">
    <w:name w:val="Revision"/>
    <w:hidden/>
    <w:uiPriority w:val="99"/>
    <w:semiHidden/>
    <w:rsid w:val="00AF13B8"/>
    <w:rPr>
      <w:sz w:val="22"/>
      <w:szCs w:val="22"/>
      <w:lang w:eastAsia="en-US"/>
    </w:rPr>
  </w:style>
  <w:style w:type="paragraph" w:styleId="Tekstprzypisukocowego">
    <w:name w:val="endnote text"/>
    <w:basedOn w:val="Normalny"/>
    <w:link w:val="TekstprzypisukocowegoZnak"/>
    <w:uiPriority w:val="99"/>
    <w:semiHidden/>
    <w:unhideWhenUsed/>
    <w:rsid w:val="002134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3460"/>
    <w:rPr>
      <w:lang w:eastAsia="en-US"/>
    </w:rPr>
  </w:style>
  <w:style w:type="character" w:styleId="Odwoanieprzypisukocowego">
    <w:name w:val="endnote reference"/>
    <w:basedOn w:val="Domylnaczcionkaakapitu"/>
    <w:uiPriority w:val="99"/>
    <w:semiHidden/>
    <w:unhideWhenUsed/>
    <w:rsid w:val="00213460"/>
    <w:rPr>
      <w:vertAlign w:val="superscript"/>
    </w:rPr>
  </w:style>
  <w:style w:type="character" w:customStyle="1" w:styleId="Nagwek2Znak">
    <w:name w:val="Nagłówek 2 Znak"/>
    <w:basedOn w:val="Domylnaczcionkaakapitu"/>
    <w:link w:val="Nagwek2"/>
    <w:uiPriority w:val="9"/>
    <w:rsid w:val="00A43754"/>
    <w:rPr>
      <w:rFonts w:ascii="Times New Roman" w:eastAsia="Times New Roman" w:hAnsi="Times New Roman"/>
      <w:b/>
      <w:bCs/>
      <w:sz w:val="36"/>
      <w:szCs w:val="36"/>
    </w:rPr>
  </w:style>
  <w:style w:type="character" w:customStyle="1" w:styleId="fn-ref">
    <w:name w:val="fn-ref"/>
    <w:basedOn w:val="Domylnaczcionkaakapitu"/>
    <w:rsid w:val="00A43754"/>
  </w:style>
  <w:style w:type="character" w:styleId="Pogrubienie">
    <w:name w:val="Strong"/>
    <w:basedOn w:val="Domylnaczcionkaakapitu"/>
    <w:uiPriority w:val="22"/>
    <w:qFormat/>
    <w:rsid w:val="00A43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4192">
      <w:bodyDiv w:val="1"/>
      <w:marLeft w:val="0"/>
      <w:marRight w:val="0"/>
      <w:marTop w:val="0"/>
      <w:marBottom w:val="0"/>
      <w:divBdr>
        <w:top w:val="none" w:sz="0" w:space="0" w:color="auto"/>
        <w:left w:val="none" w:sz="0" w:space="0" w:color="auto"/>
        <w:bottom w:val="none" w:sz="0" w:space="0" w:color="auto"/>
        <w:right w:val="none" w:sz="0" w:space="0" w:color="auto"/>
      </w:divBdr>
    </w:div>
    <w:div w:id="882447423">
      <w:bodyDiv w:val="1"/>
      <w:marLeft w:val="0"/>
      <w:marRight w:val="0"/>
      <w:marTop w:val="0"/>
      <w:marBottom w:val="0"/>
      <w:divBdr>
        <w:top w:val="none" w:sz="0" w:space="0" w:color="auto"/>
        <w:left w:val="none" w:sz="0" w:space="0" w:color="auto"/>
        <w:bottom w:val="none" w:sz="0" w:space="0" w:color="auto"/>
        <w:right w:val="none" w:sz="0" w:space="0" w:color="auto"/>
      </w:divBdr>
    </w:div>
    <w:div w:id="1681732672">
      <w:bodyDiv w:val="1"/>
      <w:marLeft w:val="0"/>
      <w:marRight w:val="0"/>
      <w:marTop w:val="0"/>
      <w:marBottom w:val="0"/>
      <w:divBdr>
        <w:top w:val="none" w:sz="0" w:space="0" w:color="auto"/>
        <w:left w:val="none" w:sz="0" w:space="0" w:color="auto"/>
        <w:bottom w:val="none" w:sz="0" w:space="0" w:color="auto"/>
        <w:right w:val="none" w:sz="0" w:space="0" w:color="auto"/>
      </w:divBdr>
      <w:divsChild>
        <w:div w:id="695814278">
          <w:marLeft w:val="0"/>
          <w:marRight w:val="0"/>
          <w:marTop w:val="0"/>
          <w:marBottom w:val="0"/>
          <w:divBdr>
            <w:top w:val="none" w:sz="0" w:space="0" w:color="auto"/>
            <w:left w:val="none" w:sz="0" w:space="0" w:color="auto"/>
            <w:bottom w:val="none" w:sz="0" w:space="0" w:color="auto"/>
            <w:right w:val="none" w:sz="0" w:space="0" w:color="auto"/>
          </w:divBdr>
        </w:div>
        <w:div w:id="1830751120">
          <w:marLeft w:val="0"/>
          <w:marRight w:val="0"/>
          <w:marTop w:val="0"/>
          <w:marBottom w:val="0"/>
          <w:divBdr>
            <w:top w:val="none" w:sz="0" w:space="0" w:color="auto"/>
            <w:left w:val="none" w:sz="0" w:space="0" w:color="auto"/>
            <w:bottom w:val="none" w:sz="0" w:space="0" w:color="auto"/>
            <w:right w:val="none" w:sz="0" w:space="0" w:color="auto"/>
          </w:divBdr>
        </w:div>
      </w:divsChild>
    </w:div>
    <w:div w:id="1931349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ap.sejm.gov.pl/isap.nsf/download.xsp/WDU20220002414/T/D20222414L.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sap.sejm.gov.pl/isap.nsf/download.xsp/WDU20220002180/U/D20222180Lj.pdf" TargetMode="External"/><Relationship Id="rId17" Type="http://schemas.openxmlformats.org/officeDocument/2006/relationships/hyperlink" Target="https://www.biznes.gov.pl/pl/portal/001099" TargetMode="External"/><Relationship Id="rId2" Type="http://schemas.openxmlformats.org/officeDocument/2006/relationships/customXml" Target="../customXml/item2.xml"/><Relationship Id="rId16" Type="http://schemas.openxmlformats.org/officeDocument/2006/relationships/hyperlink" Target="https://isap.sejm.gov.pl/isap.nsf/download.xsp/WDU20220002302/O/D20222302.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ap.sejm.gov.pl/isap.nsf/download.xsp/WDU20220001265/U/D20221265Lj.pdf" TargetMode="External"/><Relationship Id="rId5" Type="http://schemas.openxmlformats.org/officeDocument/2006/relationships/numbering" Target="numbering.xml"/><Relationship Id="rId15" Type="http://schemas.openxmlformats.org/officeDocument/2006/relationships/hyperlink" Target="https://macauditor.pl/upload/2021-12-10/20211210macauditorinformacjaowybranychzmianachwpodatkach202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ap.sejm.gov.pl/isap.nsf/download.xsp/WDU20220002302/O/D20222302.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D34B2474F42D4294676450C79086B7" ma:contentTypeVersion="2" ma:contentTypeDescription="Create a new document." ma:contentTypeScope="" ma:versionID="125389b13dd06a6a082ac0294123eb1e">
  <xsd:schema xmlns:xsd="http://www.w3.org/2001/XMLSchema" xmlns:xs="http://www.w3.org/2001/XMLSchema" xmlns:p="http://schemas.microsoft.com/office/2006/metadata/properties" xmlns:ns2="5a705661-367c-4fb7-aa1b-e76b5005273c" targetNamespace="http://schemas.microsoft.com/office/2006/metadata/properties" ma:root="true" ma:fieldsID="cbbf87a14f0d5007b291e6927bc15316" ns2:_="">
    <xsd:import namespace="5a705661-367c-4fb7-aa1b-e76b500527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05661-367c-4fb7-aa1b-e76b50052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38263-3C17-4932-9C77-3E7E9BA719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ECA50-C2C9-42C6-8BFE-EFCFD9B5F99A}">
  <ds:schemaRefs>
    <ds:schemaRef ds:uri="http://schemas.openxmlformats.org/officeDocument/2006/bibliography"/>
  </ds:schemaRefs>
</ds:datastoreItem>
</file>

<file path=customXml/itemProps3.xml><?xml version="1.0" encoding="utf-8"?>
<ds:datastoreItem xmlns:ds="http://schemas.openxmlformats.org/officeDocument/2006/customXml" ds:itemID="{DDE825D7-3F76-48AC-BCFE-6A49F75ED371}">
  <ds:schemaRefs>
    <ds:schemaRef ds:uri="http://schemas.microsoft.com/sharepoint/v3/contenttype/forms"/>
  </ds:schemaRefs>
</ds:datastoreItem>
</file>

<file path=customXml/itemProps4.xml><?xml version="1.0" encoding="utf-8"?>
<ds:datastoreItem xmlns:ds="http://schemas.openxmlformats.org/officeDocument/2006/customXml" ds:itemID="{B6EA3BC2-8B22-40F7-AAF3-135FE77CE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05661-367c-4fb7-aa1b-e76b50052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14</Pages>
  <Words>6810</Words>
  <Characters>40861</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47576</CharactersWithSpaces>
  <SharedDoc>false</SharedDoc>
  <HLinks>
    <vt:vector size="318" baseType="variant">
      <vt:variant>
        <vt:i4>3407922</vt:i4>
      </vt:variant>
      <vt:variant>
        <vt:i4>306</vt:i4>
      </vt:variant>
      <vt:variant>
        <vt:i4>0</vt:i4>
      </vt:variant>
      <vt:variant>
        <vt:i4>5</vt:i4>
      </vt:variant>
      <vt:variant>
        <vt:lpwstr>https://dziennikustaw.gov.pl/D2022000230201.pdf</vt:lpwstr>
      </vt:variant>
      <vt:variant>
        <vt:lpwstr/>
      </vt:variant>
      <vt:variant>
        <vt:i4>7012398</vt:i4>
      </vt:variant>
      <vt:variant>
        <vt:i4>303</vt:i4>
      </vt:variant>
      <vt:variant>
        <vt:i4>0</vt:i4>
      </vt:variant>
      <vt:variant>
        <vt:i4>5</vt:i4>
      </vt:variant>
      <vt:variant>
        <vt:lpwstr>https://www.biznes.gov.pl/pl/portal/001099</vt:lpwstr>
      </vt:variant>
      <vt:variant>
        <vt:lpwstr/>
      </vt:variant>
      <vt:variant>
        <vt:i4>6422633</vt:i4>
      </vt:variant>
      <vt:variant>
        <vt:i4>300</vt:i4>
      </vt:variant>
      <vt:variant>
        <vt:i4>0</vt:i4>
      </vt:variant>
      <vt:variant>
        <vt:i4>5</vt:i4>
      </vt:variant>
      <vt:variant>
        <vt:lpwstr>https://www.gov.pl/attachment/02b8f2d0-8761-48f8-8798-f3354ec95070</vt:lpwstr>
      </vt:variant>
      <vt:variant>
        <vt:lpwstr/>
      </vt:variant>
      <vt:variant>
        <vt:i4>6422560</vt:i4>
      </vt:variant>
      <vt:variant>
        <vt:i4>297</vt:i4>
      </vt:variant>
      <vt:variant>
        <vt:i4>0</vt:i4>
      </vt:variant>
      <vt:variant>
        <vt:i4>5</vt:i4>
      </vt:variant>
      <vt:variant>
        <vt:lpwstr>https://www.biznes.gov.pl/pl/portal/001171</vt:lpwstr>
      </vt:variant>
      <vt:variant>
        <vt:lpwstr/>
      </vt:variant>
      <vt:variant>
        <vt:i4>1769530</vt:i4>
      </vt:variant>
      <vt:variant>
        <vt:i4>290</vt:i4>
      </vt:variant>
      <vt:variant>
        <vt:i4>0</vt:i4>
      </vt:variant>
      <vt:variant>
        <vt:i4>5</vt:i4>
      </vt:variant>
      <vt:variant>
        <vt:lpwstr/>
      </vt:variant>
      <vt:variant>
        <vt:lpwstr>_Toc89962093</vt:lpwstr>
      </vt:variant>
      <vt:variant>
        <vt:i4>1703994</vt:i4>
      </vt:variant>
      <vt:variant>
        <vt:i4>284</vt:i4>
      </vt:variant>
      <vt:variant>
        <vt:i4>0</vt:i4>
      </vt:variant>
      <vt:variant>
        <vt:i4>5</vt:i4>
      </vt:variant>
      <vt:variant>
        <vt:lpwstr/>
      </vt:variant>
      <vt:variant>
        <vt:lpwstr>_Toc89962092</vt:lpwstr>
      </vt:variant>
      <vt:variant>
        <vt:i4>1638458</vt:i4>
      </vt:variant>
      <vt:variant>
        <vt:i4>278</vt:i4>
      </vt:variant>
      <vt:variant>
        <vt:i4>0</vt:i4>
      </vt:variant>
      <vt:variant>
        <vt:i4>5</vt:i4>
      </vt:variant>
      <vt:variant>
        <vt:lpwstr/>
      </vt:variant>
      <vt:variant>
        <vt:lpwstr>_Toc89962091</vt:lpwstr>
      </vt:variant>
      <vt:variant>
        <vt:i4>1572922</vt:i4>
      </vt:variant>
      <vt:variant>
        <vt:i4>272</vt:i4>
      </vt:variant>
      <vt:variant>
        <vt:i4>0</vt:i4>
      </vt:variant>
      <vt:variant>
        <vt:i4>5</vt:i4>
      </vt:variant>
      <vt:variant>
        <vt:lpwstr/>
      </vt:variant>
      <vt:variant>
        <vt:lpwstr>_Toc89962090</vt:lpwstr>
      </vt:variant>
      <vt:variant>
        <vt:i4>1114171</vt:i4>
      </vt:variant>
      <vt:variant>
        <vt:i4>266</vt:i4>
      </vt:variant>
      <vt:variant>
        <vt:i4>0</vt:i4>
      </vt:variant>
      <vt:variant>
        <vt:i4>5</vt:i4>
      </vt:variant>
      <vt:variant>
        <vt:lpwstr/>
      </vt:variant>
      <vt:variant>
        <vt:lpwstr>_Toc89962089</vt:lpwstr>
      </vt:variant>
      <vt:variant>
        <vt:i4>1048635</vt:i4>
      </vt:variant>
      <vt:variant>
        <vt:i4>260</vt:i4>
      </vt:variant>
      <vt:variant>
        <vt:i4>0</vt:i4>
      </vt:variant>
      <vt:variant>
        <vt:i4>5</vt:i4>
      </vt:variant>
      <vt:variant>
        <vt:lpwstr/>
      </vt:variant>
      <vt:variant>
        <vt:lpwstr>_Toc89962088</vt:lpwstr>
      </vt:variant>
      <vt:variant>
        <vt:i4>2031675</vt:i4>
      </vt:variant>
      <vt:variant>
        <vt:i4>254</vt:i4>
      </vt:variant>
      <vt:variant>
        <vt:i4>0</vt:i4>
      </vt:variant>
      <vt:variant>
        <vt:i4>5</vt:i4>
      </vt:variant>
      <vt:variant>
        <vt:lpwstr/>
      </vt:variant>
      <vt:variant>
        <vt:lpwstr>_Toc89962087</vt:lpwstr>
      </vt:variant>
      <vt:variant>
        <vt:i4>1966139</vt:i4>
      </vt:variant>
      <vt:variant>
        <vt:i4>248</vt:i4>
      </vt:variant>
      <vt:variant>
        <vt:i4>0</vt:i4>
      </vt:variant>
      <vt:variant>
        <vt:i4>5</vt:i4>
      </vt:variant>
      <vt:variant>
        <vt:lpwstr/>
      </vt:variant>
      <vt:variant>
        <vt:lpwstr>_Toc89962086</vt:lpwstr>
      </vt:variant>
      <vt:variant>
        <vt:i4>1900603</vt:i4>
      </vt:variant>
      <vt:variant>
        <vt:i4>242</vt:i4>
      </vt:variant>
      <vt:variant>
        <vt:i4>0</vt:i4>
      </vt:variant>
      <vt:variant>
        <vt:i4>5</vt:i4>
      </vt:variant>
      <vt:variant>
        <vt:lpwstr/>
      </vt:variant>
      <vt:variant>
        <vt:lpwstr>_Toc89962085</vt:lpwstr>
      </vt:variant>
      <vt:variant>
        <vt:i4>1835067</vt:i4>
      </vt:variant>
      <vt:variant>
        <vt:i4>236</vt:i4>
      </vt:variant>
      <vt:variant>
        <vt:i4>0</vt:i4>
      </vt:variant>
      <vt:variant>
        <vt:i4>5</vt:i4>
      </vt:variant>
      <vt:variant>
        <vt:lpwstr/>
      </vt:variant>
      <vt:variant>
        <vt:lpwstr>_Toc89962084</vt:lpwstr>
      </vt:variant>
      <vt:variant>
        <vt:i4>1769531</vt:i4>
      </vt:variant>
      <vt:variant>
        <vt:i4>230</vt:i4>
      </vt:variant>
      <vt:variant>
        <vt:i4>0</vt:i4>
      </vt:variant>
      <vt:variant>
        <vt:i4>5</vt:i4>
      </vt:variant>
      <vt:variant>
        <vt:lpwstr/>
      </vt:variant>
      <vt:variant>
        <vt:lpwstr>_Toc89962083</vt:lpwstr>
      </vt:variant>
      <vt:variant>
        <vt:i4>1572923</vt:i4>
      </vt:variant>
      <vt:variant>
        <vt:i4>224</vt:i4>
      </vt:variant>
      <vt:variant>
        <vt:i4>0</vt:i4>
      </vt:variant>
      <vt:variant>
        <vt:i4>5</vt:i4>
      </vt:variant>
      <vt:variant>
        <vt:lpwstr/>
      </vt:variant>
      <vt:variant>
        <vt:lpwstr>_Toc89962080</vt:lpwstr>
      </vt:variant>
      <vt:variant>
        <vt:i4>1114164</vt:i4>
      </vt:variant>
      <vt:variant>
        <vt:i4>218</vt:i4>
      </vt:variant>
      <vt:variant>
        <vt:i4>0</vt:i4>
      </vt:variant>
      <vt:variant>
        <vt:i4>5</vt:i4>
      </vt:variant>
      <vt:variant>
        <vt:lpwstr/>
      </vt:variant>
      <vt:variant>
        <vt:lpwstr>_Toc89962079</vt:lpwstr>
      </vt:variant>
      <vt:variant>
        <vt:i4>1048628</vt:i4>
      </vt:variant>
      <vt:variant>
        <vt:i4>212</vt:i4>
      </vt:variant>
      <vt:variant>
        <vt:i4>0</vt:i4>
      </vt:variant>
      <vt:variant>
        <vt:i4>5</vt:i4>
      </vt:variant>
      <vt:variant>
        <vt:lpwstr/>
      </vt:variant>
      <vt:variant>
        <vt:lpwstr>_Toc89962078</vt:lpwstr>
      </vt:variant>
      <vt:variant>
        <vt:i4>2031668</vt:i4>
      </vt:variant>
      <vt:variant>
        <vt:i4>206</vt:i4>
      </vt:variant>
      <vt:variant>
        <vt:i4>0</vt:i4>
      </vt:variant>
      <vt:variant>
        <vt:i4>5</vt:i4>
      </vt:variant>
      <vt:variant>
        <vt:lpwstr/>
      </vt:variant>
      <vt:variant>
        <vt:lpwstr>_Toc89962077</vt:lpwstr>
      </vt:variant>
      <vt:variant>
        <vt:i4>1835060</vt:i4>
      </vt:variant>
      <vt:variant>
        <vt:i4>200</vt:i4>
      </vt:variant>
      <vt:variant>
        <vt:i4>0</vt:i4>
      </vt:variant>
      <vt:variant>
        <vt:i4>5</vt:i4>
      </vt:variant>
      <vt:variant>
        <vt:lpwstr/>
      </vt:variant>
      <vt:variant>
        <vt:lpwstr>_Toc89962074</vt:lpwstr>
      </vt:variant>
      <vt:variant>
        <vt:i4>1769524</vt:i4>
      </vt:variant>
      <vt:variant>
        <vt:i4>194</vt:i4>
      </vt:variant>
      <vt:variant>
        <vt:i4>0</vt:i4>
      </vt:variant>
      <vt:variant>
        <vt:i4>5</vt:i4>
      </vt:variant>
      <vt:variant>
        <vt:lpwstr/>
      </vt:variant>
      <vt:variant>
        <vt:lpwstr>_Toc89962073</vt:lpwstr>
      </vt:variant>
      <vt:variant>
        <vt:i4>1703988</vt:i4>
      </vt:variant>
      <vt:variant>
        <vt:i4>188</vt:i4>
      </vt:variant>
      <vt:variant>
        <vt:i4>0</vt:i4>
      </vt:variant>
      <vt:variant>
        <vt:i4>5</vt:i4>
      </vt:variant>
      <vt:variant>
        <vt:lpwstr/>
      </vt:variant>
      <vt:variant>
        <vt:lpwstr>_Toc89962072</vt:lpwstr>
      </vt:variant>
      <vt:variant>
        <vt:i4>1638452</vt:i4>
      </vt:variant>
      <vt:variant>
        <vt:i4>182</vt:i4>
      </vt:variant>
      <vt:variant>
        <vt:i4>0</vt:i4>
      </vt:variant>
      <vt:variant>
        <vt:i4>5</vt:i4>
      </vt:variant>
      <vt:variant>
        <vt:lpwstr/>
      </vt:variant>
      <vt:variant>
        <vt:lpwstr>_Toc89962071</vt:lpwstr>
      </vt:variant>
      <vt:variant>
        <vt:i4>1572916</vt:i4>
      </vt:variant>
      <vt:variant>
        <vt:i4>176</vt:i4>
      </vt:variant>
      <vt:variant>
        <vt:i4>0</vt:i4>
      </vt:variant>
      <vt:variant>
        <vt:i4>5</vt:i4>
      </vt:variant>
      <vt:variant>
        <vt:lpwstr/>
      </vt:variant>
      <vt:variant>
        <vt:lpwstr>_Toc89962070</vt:lpwstr>
      </vt:variant>
      <vt:variant>
        <vt:i4>1114165</vt:i4>
      </vt:variant>
      <vt:variant>
        <vt:i4>170</vt:i4>
      </vt:variant>
      <vt:variant>
        <vt:i4>0</vt:i4>
      </vt:variant>
      <vt:variant>
        <vt:i4>5</vt:i4>
      </vt:variant>
      <vt:variant>
        <vt:lpwstr/>
      </vt:variant>
      <vt:variant>
        <vt:lpwstr>_Toc89962069</vt:lpwstr>
      </vt:variant>
      <vt:variant>
        <vt:i4>1048629</vt:i4>
      </vt:variant>
      <vt:variant>
        <vt:i4>164</vt:i4>
      </vt:variant>
      <vt:variant>
        <vt:i4>0</vt:i4>
      </vt:variant>
      <vt:variant>
        <vt:i4>5</vt:i4>
      </vt:variant>
      <vt:variant>
        <vt:lpwstr/>
      </vt:variant>
      <vt:variant>
        <vt:lpwstr>_Toc89962068</vt:lpwstr>
      </vt:variant>
      <vt:variant>
        <vt:i4>2031669</vt:i4>
      </vt:variant>
      <vt:variant>
        <vt:i4>158</vt:i4>
      </vt:variant>
      <vt:variant>
        <vt:i4>0</vt:i4>
      </vt:variant>
      <vt:variant>
        <vt:i4>5</vt:i4>
      </vt:variant>
      <vt:variant>
        <vt:lpwstr/>
      </vt:variant>
      <vt:variant>
        <vt:lpwstr>_Toc89962067</vt:lpwstr>
      </vt:variant>
      <vt:variant>
        <vt:i4>1966133</vt:i4>
      </vt:variant>
      <vt:variant>
        <vt:i4>152</vt:i4>
      </vt:variant>
      <vt:variant>
        <vt:i4>0</vt:i4>
      </vt:variant>
      <vt:variant>
        <vt:i4>5</vt:i4>
      </vt:variant>
      <vt:variant>
        <vt:lpwstr/>
      </vt:variant>
      <vt:variant>
        <vt:lpwstr>_Toc89962066</vt:lpwstr>
      </vt:variant>
      <vt:variant>
        <vt:i4>1900597</vt:i4>
      </vt:variant>
      <vt:variant>
        <vt:i4>146</vt:i4>
      </vt:variant>
      <vt:variant>
        <vt:i4>0</vt:i4>
      </vt:variant>
      <vt:variant>
        <vt:i4>5</vt:i4>
      </vt:variant>
      <vt:variant>
        <vt:lpwstr/>
      </vt:variant>
      <vt:variant>
        <vt:lpwstr>_Toc89962065</vt:lpwstr>
      </vt:variant>
      <vt:variant>
        <vt:i4>1835061</vt:i4>
      </vt:variant>
      <vt:variant>
        <vt:i4>140</vt:i4>
      </vt:variant>
      <vt:variant>
        <vt:i4>0</vt:i4>
      </vt:variant>
      <vt:variant>
        <vt:i4>5</vt:i4>
      </vt:variant>
      <vt:variant>
        <vt:lpwstr/>
      </vt:variant>
      <vt:variant>
        <vt:lpwstr>_Toc89962064</vt:lpwstr>
      </vt:variant>
      <vt:variant>
        <vt:i4>1769525</vt:i4>
      </vt:variant>
      <vt:variant>
        <vt:i4>134</vt:i4>
      </vt:variant>
      <vt:variant>
        <vt:i4>0</vt:i4>
      </vt:variant>
      <vt:variant>
        <vt:i4>5</vt:i4>
      </vt:variant>
      <vt:variant>
        <vt:lpwstr/>
      </vt:variant>
      <vt:variant>
        <vt:lpwstr>_Toc89962063</vt:lpwstr>
      </vt:variant>
      <vt:variant>
        <vt:i4>1703989</vt:i4>
      </vt:variant>
      <vt:variant>
        <vt:i4>128</vt:i4>
      </vt:variant>
      <vt:variant>
        <vt:i4>0</vt:i4>
      </vt:variant>
      <vt:variant>
        <vt:i4>5</vt:i4>
      </vt:variant>
      <vt:variant>
        <vt:lpwstr/>
      </vt:variant>
      <vt:variant>
        <vt:lpwstr>_Toc89962062</vt:lpwstr>
      </vt:variant>
      <vt:variant>
        <vt:i4>1638453</vt:i4>
      </vt:variant>
      <vt:variant>
        <vt:i4>122</vt:i4>
      </vt:variant>
      <vt:variant>
        <vt:i4>0</vt:i4>
      </vt:variant>
      <vt:variant>
        <vt:i4>5</vt:i4>
      </vt:variant>
      <vt:variant>
        <vt:lpwstr/>
      </vt:variant>
      <vt:variant>
        <vt:lpwstr>_Toc89962061</vt:lpwstr>
      </vt:variant>
      <vt:variant>
        <vt:i4>1572917</vt:i4>
      </vt:variant>
      <vt:variant>
        <vt:i4>116</vt:i4>
      </vt:variant>
      <vt:variant>
        <vt:i4>0</vt:i4>
      </vt:variant>
      <vt:variant>
        <vt:i4>5</vt:i4>
      </vt:variant>
      <vt:variant>
        <vt:lpwstr/>
      </vt:variant>
      <vt:variant>
        <vt:lpwstr>_Toc89962060</vt:lpwstr>
      </vt:variant>
      <vt:variant>
        <vt:i4>1114166</vt:i4>
      </vt:variant>
      <vt:variant>
        <vt:i4>110</vt:i4>
      </vt:variant>
      <vt:variant>
        <vt:i4>0</vt:i4>
      </vt:variant>
      <vt:variant>
        <vt:i4>5</vt:i4>
      </vt:variant>
      <vt:variant>
        <vt:lpwstr/>
      </vt:variant>
      <vt:variant>
        <vt:lpwstr>_Toc89962059</vt:lpwstr>
      </vt:variant>
      <vt:variant>
        <vt:i4>1048630</vt:i4>
      </vt:variant>
      <vt:variant>
        <vt:i4>104</vt:i4>
      </vt:variant>
      <vt:variant>
        <vt:i4>0</vt:i4>
      </vt:variant>
      <vt:variant>
        <vt:i4>5</vt:i4>
      </vt:variant>
      <vt:variant>
        <vt:lpwstr/>
      </vt:variant>
      <vt:variant>
        <vt:lpwstr>_Toc89962058</vt:lpwstr>
      </vt:variant>
      <vt:variant>
        <vt:i4>2031670</vt:i4>
      </vt:variant>
      <vt:variant>
        <vt:i4>98</vt:i4>
      </vt:variant>
      <vt:variant>
        <vt:i4>0</vt:i4>
      </vt:variant>
      <vt:variant>
        <vt:i4>5</vt:i4>
      </vt:variant>
      <vt:variant>
        <vt:lpwstr/>
      </vt:variant>
      <vt:variant>
        <vt:lpwstr>_Toc89962057</vt:lpwstr>
      </vt:variant>
      <vt:variant>
        <vt:i4>1966134</vt:i4>
      </vt:variant>
      <vt:variant>
        <vt:i4>92</vt:i4>
      </vt:variant>
      <vt:variant>
        <vt:i4>0</vt:i4>
      </vt:variant>
      <vt:variant>
        <vt:i4>5</vt:i4>
      </vt:variant>
      <vt:variant>
        <vt:lpwstr/>
      </vt:variant>
      <vt:variant>
        <vt:lpwstr>_Toc89962056</vt:lpwstr>
      </vt:variant>
      <vt:variant>
        <vt:i4>1703990</vt:i4>
      </vt:variant>
      <vt:variant>
        <vt:i4>86</vt:i4>
      </vt:variant>
      <vt:variant>
        <vt:i4>0</vt:i4>
      </vt:variant>
      <vt:variant>
        <vt:i4>5</vt:i4>
      </vt:variant>
      <vt:variant>
        <vt:lpwstr/>
      </vt:variant>
      <vt:variant>
        <vt:lpwstr>_Toc89962052</vt:lpwstr>
      </vt:variant>
      <vt:variant>
        <vt:i4>1638454</vt:i4>
      </vt:variant>
      <vt:variant>
        <vt:i4>80</vt:i4>
      </vt:variant>
      <vt:variant>
        <vt:i4>0</vt:i4>
      </vt:variant>
      <vt:variant>
        <vt:i4>5</vt:i4>
      </vt:variant>
      <vt:variant>
        <vt:lpwstr/>
      </vt:variant>
      <vt:variant>
        <vt:lpwstr>_Toc89962051</vt:lpwstr>
      </vt:variant>
      <vt:variant>
        <vt:i4>1572918</vt:i4>
      </vt:variant>
      <vt:variant>
        <vt:i4>74</vt:i4>
      </vt:variant>
      <vt:variant>
        <vt:i4>0</vt:i4>
      </vt:variant>
      <vt:variant>
        <vt:i4>5</vt:i4>
      </vt:variant>
      <vt:variant>
        <vt:lpwstr/>
      </vt:variant>
      <vt:variant>
        <vt:lpwstr>_Toc89962050</vt:lpwstr>
      </vt:variant>
      <vt:variant>
        <vt:i4>1114167</vt:i4>
      </vt:variant>
      <vt:variant>
        <vt:i4>68</vt:i4>
      </vt:variant>
      <vt:variant>
        <vt:i4>0</vt:i4>
      </vt:variant>
      <vt:variant>
        <vt:i4>5</vt:i4>
      </vt:variant>
      <vt:variant>
        <vt:lpwstr/>
      </vt:variant>
      <vt:variant>
        <vt:lpwstr>_Toc89962049</vt:lpwstr>
      </vt:variant>
      <vt:variant>
        <vt:i4>1048631</vt:i4>
      </vt:variant>
      <vt:variant>
        <vt:i4>62</vt:i4>
      </vt:variant>
      <vt:variant>
        <vt:i4>0</vt:i4>
      </vt:variant>
      <vt:variant>
        <vt:i4>5</vt:i4>
      </vt:variant>
      <vt:variant>
        <vt:lpwstr/>
      </vt:variant>
      <vt:variant>
        <vt:lpwstr>_Toc89962048</vt:lpwstr>
      </vt:variant>
      <vt:variant>
        <vt:i4>2031671</vt:i4>
      </vt:variant>
      <vt:variant>
        <vt:i4>56</vt:i4>
      </vt:variant>
      <vt:variant>
        <vt:i4>0</vt:i4>
      </vt:variant>
      <vt:variant>
        <vt:i4>5</vt:i4>
      </vt:variant>
      <vt:variant>
        <vt:lpwstr/>
      </vt:variant>
      <vt:variant>
        <vt:lpwstr>_Toc89962047</vt:lpwstr>
      </vt:variant>
      <vt:variant>
        <vt:i4>1966135</vt:i4>
      </vt:variant>
      <vt:variant>
        <vt:i4>50</vt:i4>
      </vt:variant>
      <vt:variant>
        <vt:i4>0</vt:i4>
      </vt:variant>
      <vt:variant>
        <vt:i4>5</vt:i4>
      </vt:variant>
      <vt:variant>
        <vt:lpwstr/>
      </vt:variant>
      <vt:variant>
        <vt:lpwstr>_Toc89962046</vt:lpwstr>
      </vt:variant>
      <vt:variant>
        <vt:i4>1900599</vt:i4>
      </vt:variant>
      <vt:variant>
        <vt:i4>44</vt:i4>
      </vt:variant>
      <vt:variant>
        <vt:i4>0</vt:i4>
      </vt:variant>
      <vt:variant>
        <vt:i4>5</vt:i4>
      </vt:variant>
      <vt:variant>
        <vt:lpwstr/>
      </vt:variant>
      <vt:variant>
        <vt:lpwstr>_Toc89962045</vt:lpwstr>
      </vt:variant>
      <vt:variant>
        <vt:i4>1835063</vt:i4>
      </vt:variant>
      <vt:variant>
        <vt:i4>38</vt:i4>
      </vt:variant>
      <vt:variant>
        <vt:i4>0</vt:i4>
      </vt:variant>
      <vt:variant>
        <vt:i4>5</vt:i4>
      </vt:variant>
      <vt:variant>
        <vt:lpwstr/>
      </vt:variant>
      <vt:variant>
        <vt:lpwstr>_Toc89962044</vt:lpwstr>
      </vt:variant>
      <vt:variant>
        <vt:i4>1769527</vt:i4>
      </vt:variant>
      <vt:variant>
        <vt:i4>32</vt:i4>
      </vt:variant>
      <vt:variant>
        <vt:i4>0</vt:i4>
      </vt:variant>
      <vt:variant>
        <vt:i4>5</vt:i4>
      </vt:variant>
      <vt:variant>
        <vt:lpwstr/>
      </vt:variant>
      <vt:variant>
        <vt:lpwstr>_Toc89962043</vt:lpwstr>
      </vt:variant>
      <vt:variant>
        <vt:i4>1572919</vt:i4>
      </vt:variant>
      <vt:variant>
        <vt:i4>26</vt:i4>
      </vt:variant>
      <vt:variant>
        <vt:i4>0</vt:i4>
      </vt:variant>
      <vt:variant>
        <vt:i4>5</vt:i4>
      </vt:variant>
      <vt:variant>
        <vt:lpwstr/>
      </vt:variant>
      <vt:variant>
        <vt:lpwstr>_Toc89962040</vt:lpwstr>
      </vt:variant>
      <vt:variant>
        <vt:i4>1114160</vt:i4>
      </vt:variant>
      <vt:variant>
        <vt:i4>20</vt:i4>
      </vt:variant>
      <vt:variant>
        <vt:i4>0</vt:i4>
      </vt:variant>
      <vt:variant>
        <vt:i4>5</vt:i4>
      </vt:variant>
      <vt:variant>
        <vt:lpwstr/>
      </vt:variant>
      <vt:variant>
        <vt:lpwstr>_Toc89962039</vt:lpwstr>
      </vt:variant>
      <vt:variant>
        <vt:i4>1048624</vt:i4>
      </vt:variant>
      <vt:variant>
        <vt:i4>14</vt:i4>
      </vt:variant>
      <vt:variant>
        <vt:i4>0</vt:i4>
      </vt:variant>
      <vt:variant>
        <vt:i4>5</vt:i4>
      </vt:variant>
      <vt:variant>
        <vt:lpwstr/>
      </vt:variant>
      <vt:variant>
        <vt:lpwstr>_Toc89962038</vt:lpwstr>
      </vt:variant>
      <vt:variant>
        <vt:i4>2031664</vt:i4>
      </vt:variant>
      <vt:variant>
        <vt:i4>8</vt:i4>
      </vt:variant>
      <vt:variant>
        <vt:i4>0</vt:i4>
      </vt:variant>
      <vt:variant>
        <vt:i4>5</vt:i4>
      </vt:variant>
      <vt:variant>
        <vt:lpwstr/>
      </vt:variant>
      <vt:variant>
        <vt:lpwstr>_Toc89962037</vt:lpwstr>
      </vt:variant>
      <vt:variant>
        <vt:i4>1966128</vt:i4>
      </vt:variant>
      <vt:variant>
        <vt:i4>2</vt:i4>
      </vt:variant>
      <vt:variant>
        <vt:i4>0</vt:i4>
      </vt:variant>
      <vt:variant>
        <vt:i4>5</vt:i4>
      </vt:variant>
      <vt:variant>
        <vt:lpwstr/>
      </vt:variant>
      <vt:variant>
        <vt:lpwstr>_Toc89962036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d.kurek</dc:creator>
  <cp:keywords/>
  <dc:description/>
  <cp:lastModifiedBy>Natalia Boczek</cp:lastModifiedBy>
  <cp:revision>90</cp:revision>
  <cp:lastPrinted>2023-02-15T14:57:00Z</cp:lastPrinted>
  <dcterms:created xsi:type="dcterms:W3CDTF">2022-12-07T00:31:00Z</dcterms:created>
  <dcterms:modified xsi:type="dcterms:W3CDTF">2023-02-23T10:10:00Z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0x01010021D34B2474F42D4294676450C79086B7</vt:lpwstr>
  </property>
</Properties>
</file>